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Override ContentType="application/vnd.openxmlformats-officedocument.wordprocessingml.header+xml" PartName="/word/header2.xml"/>
  <Override ContentType="application/vnd.openxmlformats-officedocument.wordprocessingml.footer+xml" PartName="/word/footer2.xml"/>
  <Override ContentType="application/vnd.openxmlformats-officedocument.wordprocessingml.header+xml" PartName="/word/header3.xml"/>
  <Override ContentType="application/vnd.openxmlformats-officedocument.wordprocessingml.footer+xml" PartName="/word/footer3.xml"/>
  <Override ContentType="application/vnd.openxmlformats-officedocument.wordprocessingml.header+xml" PartName="/word/header4.xml"/>
  <Override ContentType="application/vnd.openxmlformats-officedocument.wordprocessingml.footer+xml" PartName="/word/footer4.xml"/>
  <Override ContentType="application/vnd.openxmlformats-officedocument.wordprocessingml.header+xml" PartName="/word/header5.xml"/>
  <Override ContentType="application/vnd.openxmlformats-officedocument.wordprocessingml.footer+xml" PartName="/word/footer5.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1800"/>
      </w:pPr>
    </w:p>
    <w:p>
      <w:pPr>
        <w:jc w:val="center"/>
      </w:pPr>
      <w:r>
        <w:rPr>
          <w:b/>
          <w:bCs/>
          <w:color w:val="1F3864"/>
          <w:sz w:val="56"/>
          <w:szCs w:val="56"/>
        </w:rPr>
        <w:t xml:space="preserve">MEDUVO HEALTH</w:t>
      </w:r>
    </w:p>
    <w:p>
      <w:pPr>
        <w:spacing w:after="200" w:before="200"/>
        <w:jc w:val="center"/>
      </w:pPr>
      <w:r>
        <w:rPr>
          <w:b/>
          <w:bCs/>
          <w:color w:val="D9730D"/>
          <w:sz w:val="34"/>
          <w:szCs w:val="34"/>
        </w:rPr>
        <w:t xml:space="preserve">CoCM Platform — Corrected Master Reference</w:t>
      </w:r>
    </w:p>
    <w:p>
      <w:pPr>
        <w:spacing w:after="700"/>
        <w:jc w:val="center"/>
      </w:pPr>
      <w:r>
        <w:rPr>
          <w:i/>
          <w:iCs/>
          <w:sz w:val="24"/>
          <w:szCs w:val="24"/>
        </w:rPr>
        <w:t xml:space="preserve">Gaps, Flows, Roles, Assessment Logic &amp; Action Checklist (Vision vs. Actual Built System)</w:t>
      </w:r>
    </w:p>
    <w:p>
      <w:pPr>
        <w:spacing w:after="100"/>
        <w:jc w:val="center"/>
      </w:pPr>
      <w:r>
        <w:rPr>
          <w:color w:val="555555"/>
          <w:sz w:val="20"/>
          <w:szCs w:val="20"/>
        </w:rPr>
        <w:t xml:space="preserve">Reconciles: Product Development Specification  •  Screen Mockups (25 Screens)  •  Workflow Infographics  •  Actual System Flow Reference (dated 2026-07-21)</w:t>
      </w:r>
    </w:p>
    <w:p>
      <w:pPr>
        <w:spacing w:before="1600"/>
        <w:jc w:val="center"/>
      </w:pPr>
      <w:r>
        <w:rPr>
          <w:i/>
          <w:iCs/>
          <w:color w:val="888888"/>
          <w:sz w:val="18"/>
          <w:szCs w:val="18"/>
        </w:rPr>
        <w:t xml:space="preserve">Confidential — Internal Product &amp; Engineering Reference</w:t>
      </w:r>
    </w:p>
    <w:p>
      <w:pPr>
        <w:spacing w:before="100"/>
        <w:jc w:val="center"/>
      </w:pPr>
      <w:r>
        <w:rPr>
          <w:color w:val="888888"/>
          <w:sz w:val="18"/>
          <w:szCs w:val="18"/>
        </w:rPr>
        <w:t xml:space="preserve">Last reviewed: 2026-07-21</w:t>
      </w:r>
    </w:p>
    <w:p>
      <w:r>
        <w:br w:type="page"/>
      </w:r>
    </w:p>
    <w:p>
      <w:pPr>
        <w:sectPr>
          <w:pgSz w:w="12240" w:h="15840" w:orient="portrait"/>
          <w:pgMar w:top="1080" w:right="1080" w:bottom="1080" w:left="1080" w:header="708" w:footer="708" w:gutter="0"/>
          <w:pgNumType/>
          <w:docGrid w:linePitch="360"/>
        </w:sectPr>
      </w:pPr>
    </w:p>
    <w:p>
      <w:pPr>
        <w:pStyle w:val="Heading1"/>
        <w:spacing w:after="200" w:before="400"/>
      </w:pPr>
      <w:r>
        <w:t xml:space="preserve">Table of Contents</w:t>
      </w:r>
    </w:p>
    <w:sdt>
      <w:sdtPr>
        <w:alias w:val="Table of Contents"/>
      </w:sdtPr>
      <w:sdtContent>
        <w:p>
          <w:r>
            <w:fldChar w:fldCharType="begin" w:dirty="true"/>
            <w:instrText xml:space="preserve">TOC \h \o "1-2"</w:instrText>
            <w:fldChar w:fldCharType="separate"/>
          </w:r>
        </w:p>
        <w:p>
          <w:r>
            <w:fldChar w:fldCharType="end"/>
          </w:r>
        </w:p>
      </w:sdtContent>
    </w:sdt>
    <w:p>
      <w:r>
        <w:br w:type="page"/>
      </w:r>
    </w:p>
    <w:p>
      <w:pPr>
        <w:sectPr>
          <w:headerReference w:type="default" r:id="rId7"/>
          <w:footerReference w:type="default" r:id="rId8"/>
          <w:pgSz w:w="12240" w:h="15840" w:orient="portrait"/>
          <w:pgMar w:top="1080" w:right="1080" w:bottom="1080" w:left="1080" w:header="708" w:footer="708" w:gutter="0"/>
          <w:pgNumType/>
          <w:docGrid w:linePitch="360"/>
        </w:sectPr>
      </w:pPr>
    </w:p>
    <w:p>
      <w:pPr>
        <w:pStyle w:val="Heading1"/>
        <w:spacing w:after="200" w:before="400"/>
      </w:pPr>
      <w:r>
        <w:t xml:space="preserve">1. Executive Verdict — Is the New Document Correct?</w:t>
      </w:r>
    </w:p>
    <w:p>
      <w:pPr>
        <w:spacing w:after="150"/>
      </w:pPr>
      <w:r>
        <w:rPr>
          <w:b w:val="false"/>
          <w:bCs w:val="false"/>
          <w:i w:val="false"/>
          <w:iCs w:val="false"/>
        </w:rPr>
        <w:t xml:space="preserve">Short answer: Yes, the operational system-flow reference is internally correct and consistent. However, it describes the ACTUAL BUILT SYSTEM (ground truth), which differs from the earlier vision documents (Product Specification + Screen Mockups + Infographics) in specific, important ways.</w:t>
      </w:r>
    </w:p>
    <w:p>
      <w:pPr>
        <w:spacing w:after="150"/>
      </w:pPr>
      <w:r>
        <w:rPr>
          <w:b w:val="false"/>
          <w:bCs w:val="false"/>
          <w:i w:val="false"/>
          <w:iCs w:val="false"/>
        </w:rPr>
        <w:t xml:space="preserve">Some capabilities are AHEAD of the original plan (multi-tenancy, SuperAdmin/Clinic Admin roles, SDOH intake, a working Psychiatrist portal, detailed emergency-alert architecture). Others are BEHIND or incomplete (patient self-service login, kiosk device lockdown enforcement, push-notification production wiring, a safety-flag evaluator that needs clinical review, and unapproved billing rule-sets).</w:t>
      </w:r>
    </w:p>
    <w:p>
      <w:pPr>
        <w:spacing w:after="150"/>
      </w:pPr>
      <w:r>
        <w:rPr>
          <w:b/>
          <w:bCs/>
          <w:i w:val="false"/>
          <w:iCs w:val="false"/>
        </w:rPr>
        <w:t xml:space="preserve">Legend used throughout this document:</w:t>
      </w:r>
    </w:p>
    <w:p>
      <w:pPr>
        <w:pStyle w:val="ListParagraph"/>
        <w:numPr>
          <w:ilvl w:val="0"/>
          <w:numId w:val="1"/>
        </w:numPr>
        <w:spacing w:after="80"/>
      </w:pPr>
      <w:r>
        <w:t xml:space="preserve">BUILT — confirmed in the actual system</w:t>
      </w:r>
    </w:p>
    <w:p>
      <w:pPr>
        <w:pStyle w:val="ListParagraph"/>
        <w:numPr>
          <w:ilvl w:val="0"/>
          <w:numId w:val="1"/>
        </w:numPr>
        <w:spacing w:after="80"/>
      </w:pPr>
      <w:r>
        <w:t xml:space="preserve">PARTIAL — built but incomplete / flagged as a gap</w:t>
      </w:r>
    </w:p>
    <w:p>
      <w:pPr>
        <w:pStyle w:val="ListParagraph"/>
        <w:numPr>
          <w:ilvl w:val="0"/>
          <w:numId w:val="1"/>
        </w:numPr>
        <w:spacing w:after="80"/>
      </w:pPr>
      <w:r>
        <w:t xml:space="preserve">NOT BUILT — existed only in the earlier vision docs</w:t>
      </w:r>
    </w:p>
    <w:p>
      <w:pPr>
        <w:pStyle w:val="ListParagraph"/>
        <w:numPr>
          <w:ilvl w:val="0"/>
          <w:numId w:val="1"/>
        </w:numPr>
        <w:spacing w:after="80"/>
      </w:pPr>
      <w:r>
        <w:t xml:space="preserve">RISK — built, but flagged as needing review before production/clinical use</w:t>
      </w:r>
    </w:p>
    <w:p>
      <w:pPr>
        <w:pStyle w:val="Heading1"/>
        <w:spacing w:after="200" w:before="400"/>
      </w:pPr>
      <w:r>
        <w:t xml:space="preserve">2. Roles — Corrected &amp; Final</w:t>
      </w:r>
    </w:p>
    <w:p>
      <w:pPr>
        <w:spacing w:after="150"/>
      </w:pPr>
      <w:r>
        <w:rPr>
          <w:b w:val="false"/>
          <w:bCs w:val="false"/>
          <w:i/>
          <w:iCs/>
        </w:rPr>
        <w:t xml:space="preserve">Note: the earlier role name "BHM" is now officially "BHCM" (Behavioral Health Care Manager). SuperAdmin and Clinic Admin are two brand-new roles that did not exist in the original mockups and must now be treated as first-class roles.</w:t>
      </w:r>
    </w:p>
    <w:tbl>
      <w:tblPr>
        <w:tblW w:type="dxa" w:w="11200"/>
        <w:tblBorders>
          <w:top w:val="single" w:color="auto" w:sz="4"/>
          <w:left w:val="single" w:color="auto" w:sz="4"/>
          <w:bottom w:val="single" w:color="auto" w:sz="4"/>
          <w:right w:val="single" w:color="auto" w:sz="4"/>
          <w:insideH w:val="single" w:color="auto" w:sz="4"/>
          <w:insideV w:val="single" w:color="auto" w:sz="4"/>
        </w:tblBorders>
      </w:tblPr>
      <w:tblGrid>
        <w:gridCol w:w="1700"/>
        <w:gridCol w:w="1300"/>
        <w:gridCol w:w="2200"/>
        <w:gridCol w:w="3300"/>
        <w:gridCol w:w="2700"/>
      </w:tblGrid>
      <w:tr>
        <w:trPr>
          <w:tblHeader/>
        </w:trPr>
        <w:tc>
          <w:tcPr>
            <w:tcW w:type="dxa" w:w="1700"/>
            <w:shd w:fill="1F3864" w:color="auto" w:val="clear"/>
            <w:tcMar>
              <w:top w:type="dxa" w:w="80"/>
              <w:left w:type="dxa" w:w="100"/>
              <w:bottom w:type="dxa" w:w="80"/>
              <w:right w:type="dxa" w:w="100"/>
            </w:tcMar>
            <w:vAlign w:val="center"/>
          </w:tcPr>
          <w:p>
            <w:r>
              <w:rPr>
                <w:b/>
                <w:bCs/>
                <w:color w:val="FFFFFF"/>
                <w:sz w:val="19"/>
                <w:szCs w:val="19"/>
              </w:rPr>
              <w:t xml:space="preserve">Role</w:t>
            </w:r>
          </w:p>
        </w:tc>
        <w:tc>
          <w:tcPr>
            <w:tcW w:type="dxa" w:w="1300"/>
            <w:shd w:fill="1F3864" w:color="auto" w:val="clear"/>
            <w:tcMar>
              <w:top w:type="dxa" w:w="80"/>
              <w:left w:type="dxa" w:w="100"/>
              <w:bottom w:type="dxa" w:w="80"/>
              <w:right w:type="dxa" w:w="100"/>
            </w:tcMar>
            <w:vAlign w:val="center"/>
          </w:tcPr>
          <w:p>
            <w:r>
              <w:rPr>
                <w:b/>
                <w:bCs/>
                <w:color w:val="FFFFFF"/>
                <w:sz w:val="19"/>
                <w:szCs w:val="19"/>
              </w:rPr>
              <w:t xml:space="preserve">Status</w:t>
            </w:r>
          </w:p>
        </w:tc>
        <w:tc>
          <w:tcPr>
            <w:tcW w:type="dxa" w:w="2200"/>
            <w:shd w:fill="1F3864" w:color="auto" w:val="clear"/>
            <w:tcMar>
              <w:top w:type="dxa" w:w="80"/>
              <w:left w:type="dxa" w:w="100"/>
              <w:bottom w:type="dxa" w:w="80"/>
              <w:right w:type="dxa" w:w="100"/>
            </w:tcMar>
            <w:vAlign w:val="center"/>
          </w:tcPr>
          <w:p>
            <w:r>
              <w:rPr>
                <w:b/>
                <w:bCs/>
                <w:color w:val="FFFFFF"/>
                <w:sz w:val="19"/>
                <w:szCs w:val="19"/>
              </w:rPr>
              <w:t xml:space="preserve">Primary Job</w:t>
            </w:r>
          </w:p>
        </w:tc>
        <w:tc>
          <w:tcPr>
            <w:tcW w:type="dxa" w:w="3300"/>
            <w:shd w:fill="1F3864" w:color="auto" w:val="clear"/>
            <w:tcMar>
              <w:top w:type="dxa" w:w="80"/>
              <w:left w:type="dxa" w:w="100"/>
              <w:bottom w:type="dxa" w:w="80"/>
              <w:right w:type="dxa" w:w="100"/>
            </w:tcMar>
            <w:vAlign w:val="center"/>
          </w:tcPr>
          <w:p>
            <w:r>
              <w:rPr>
                <w:b/>
                <w:bCs/>
                <w:color w:val="FFFFFF"/>
                <w:sz w:val="19"/>
                <w:szCs w:val="19"/>
              </w:rPr>
              <w:t xml:space="preserve">Can Do</w:t>
            </w:r>
          </w:p>
        </w:tc>
        <w:tc>
          <w:tcPr>
            <w:tcW w:type="dxa" w:w="2700"/>
            <w:shd w:fill="1F3864" w:color="auto" w:val="clear"/>
            <w:tcMar>
              <w:top w:type="dxa" w:w="80"/>
              <w:left w:type="dxa" w:w="100"/>
              <w:bottom w:type="dxa" w:w="80"/>
              <w:right w:type="dxa" w:w="100"/>
            </w:tcMar>
            <w:vAlign w:val="center"/>
          </w:tcPr>
          <w:p>
            <w:r>
              <w:rPr>
                <w:b/>
                <w:bCs/>
                <w:color w:val="FFFFFF"/>
                <w:sz w:val="19"/>
                <w:szCs w:val="19"/>
              </w:rPr>
              <w:t xml:space="preserve">Cannot Do</w:t>
            </w:r>
          </w:p>
        </w:tc>
      </w:tr>
      <w:tr>
        <w:tc>
          <w:tcPr>
            <w:tcW w:type="dxa" w:w="1700"/>
            <w:shd w:fill="FFFFFF" w:color="auto" w:val="clear"/>
            <w:tcMar>
              <w:top w:type="dxa" w:w="80"/>
              <w:left w:type="dxa" w:w="100"/>
              <w:bottom w:type="dxa" w:w="80"/>
              <w:right w:type="dxa" w:w="100"/>
            </w:tcMar>
            <w:vAlign w:val="center"/>
          </w:tcPr>
          <w:p>
            <w:r>
              <w:rPr>
                <w:b w:val="false"/>
                <w:bCs w:val="false"/>
                <w:sz w:val="19"/>
                <w:szCs w:val="19"/>
              </w:rPr>
              <w:t xml:space="preserve">SuperAdmin</w:t>
            </w:r>
          </w:p>
        </w:tc>
        <w:tc>
          <w:tcPr>
            <w:tcW w:type="dxa" w:w="1300"/>
            <w:shd w:fill="FFFFFF" w:color="auto" w:val="clear"/>
            <w:tcMar>
              <w:top w:type="dxa" w:w="80"/>
              <w:left w:type="dxa" w:w="100"/>
              <w:bottom w:type="dxa" w:w="80"/>
              <w:right w:type="dxa" w:w="100"/>
            </w:tcMar>
            <w:vAlign w:val="center"/>
          </w:tcPr>
          <w:p>
            <w:r>
              <w:rPr>
                <w:b w:val="false"/>
                <w:bCs w:val="false"/>
                <w:sz w:val="19"/>
                <w:szCs w:val="19"/>
              </w:rPr>
              <w:t xml:space="preserve">NEW / BUILT</w:t>
            </w:r>
          </w:p>
        </w:tc>
        <w:tc>
          <w:tcPr>
            <w:tcW w:type="dxa" w:w="2200"/>
            <w:shd w:fill="FFFFFF" w:color="auto" w:val="clear"/>
            <w:tcMar>
              <w:top w:type="dxa" w:w="80"/>
              <w:left w:type="dxa" w:w="100"/>
              <w:bottom w:type="dxa" w:w="80"/>
              <w:right w:type="dxa" w:w="100"/>
            </w:tcMar>
            <w:vAlign w:val="center"/>
          </w:tcPr>
          <w:p>
            <w:r>
              <w:rPr>
                <w:b w:val="false"/>
                <w:bCs w:val="false"/>
                <w:sz w:val="19"/>
                <w:szCs w:val="19"/>
              </w:rPr>
              <w:t xml:space="preserve">Platform admin, tenant activation</w:t>
            </w:r>
          </w:p>
        </w:tc>
        <w:tc>
          <w:tcPr>
            <w:tcW w:type="dxa" w:w="3300"/>
            <w:shd w:fill="FFFFFF" w:color="auto" w:val="clear"/>
            <w:tcMar>
              <w:top w:type="dxa" w:w="80"/>
              <w:left w:type="dxa" w:w="100"/>
              <w:bottom w:type="dxa" w:w="80"/>
              <w:right w:type="dxa" w:w="100"/>
            </w:tcMar>
            <w:vAlign w:val="center"/>
          </w:tcPr>
          <w:p>
            <w:r>
              <w:rPr>
                <w:b w:val="false"/>
                <w:bCs w:val="false"/>
                <w:sz w:val="19"/>
                <w:szCs w:val="19"/>
              </w:rPr>
              <w:t xml:space="preserve">Approve practices, verify BAA/eSign, invite users into any tenant, view audit/compliance</w:t>
            </w:r>
          </w:p>
        </w:tc>
        <w:tc>
          <w:tcPr>
            <w:tcW w:type="dxa" w:w="2700"/>
            <w:shd w:fill="FFFFFF" w:color="auto" w:val="clear"/>
            <w:tcMar>
              <w:top w:type="dxa" w:w="80"/>
              <w:left w:type="dxa" w:w="100"/>
              <w:bottom w:type="dxa" w:w="80"/>
              <w:right w:type="dxa" w:w="100"/>
            </w:tcMar>
            <w:vAlign w:val="center"/>
          </w:tcPr>
          <w:p>
            <w:r>
              <w:rPr>
                <w:b w:val="false"/>
                <w:bCs w:val="false"/>
                <w:sz w:val="19"/>
                <w:szCs w:val="19"/>
              </w:rPr>
              <w:t xml:space="preserve">Should not be part of day-to-day patient care</w:t>
            </w:r>
          </w:p>
        </w:tc>
      </w:tr>
      <w:tr>
        <w:tc>
          <w:tcPr>
            <w:tcW w:type="dxa" w:w="1700"/>
            <w:shd w:fill="F2F2F2" w:color="auto" w:val="clear"/>
            <w:tcMar>
              <w:top w:type="dxa" w:w="80"/>
              <w:left w:type="dxa" w:w="100"/>
              <w:bottom w:type="dxa" w:w="80"/>
              <w:right w:type="dxa" w:w="100"/>
            </w:tcMar>
            <w:vAlign w:val="center"/>
          </w:tcPr>
          <w:p>
            <w:r>
              <w:rPr>
                <w:b w:val="false"/>
                <w:bCs w:val="false"/>
                <w:sz w:val="19"/>
                <w:szCs w:val="19"/>
              </w:rPr>
              <w:t xml:space="preserve">Clinic Admin</w:t>
            </w:r>
          </w:p>
        </w:tc>
        <w:tc>
          <w:tcPr>
            <w:tcW w:type="dxa" w:w="1300"/>
            <w:shd w:fill="F2F2F2" w:color="auto" w:val="clear"/>
            <w:tcMar>
              <w:top w:type="dxa" w:w="80"/>
              <w:left w:type="dxa" w:w="100"/>
              <w:bottom w:type="dxa" w:w="80"/>
              <w:right w:type="dxa" w:w="100"/>
            </w:tcMar>
            <w:vAlign w:val="center"/>
          </w:tcPr>
          <w:p>
            <w:r>
              <w:rPr>
                <w:b w:val="false"/>
                <w:bCs w:val="false"/>
                <w:sz w:val="19"/>
                <w:szCs w:val="19"/>
              </w:rPr>
              <w:t xml:space="preserve">NEW / BUILT</w:t>
            </w:r>
          </w:p>
        </w:tc>
        <w:tc>
          <w:tcPr>
            <w:tcW w:type="dxa" w:w="2200"/>
            <w:shd w:fill="F2F2F2" w:color="auto" w:val="clear"/>
            <w:tcMar>
              <w:top w:type="dxa" w:w="80"/>
              <w:left w:type="dxa" w:w="100"/>
              <w:bottom w:type="dxa" w:w="80"/>
              <w:right w:type="dxa" w:w="100"/>
            </w:tcMar>
            <w:vAlign w:val="center"/>
          </w:tcPr>
          <w:p>
            <w:r>
              <w:rPr>
                <w:b w:val="false"/>
                <w:bCs w:val="false"/>
                <w:sz w:val="19"/>
                <w:szCs w:val="19"/>
              </w:rPr>
              <w:t xml:space="preserve">Tenant-level operations</w:t>
            </w:r>
          </w:p>
        </w:tc>
        <w:tc>
          <w:tcPr>
            <w:tcW w:type="dxa" w:w="3300"/>
            <w:shd w:fill="F2F2F2" w:color="auto" w:val="clear"/>
            <w:tcMar>
              <w:top w:type="dxa" w:w="80"/>
              <w:left w:type="dxa" w:w="100"/>
              <w:bottom w:type="dxa" w:w="80"/>
              <w:right w:type="dxa" w:w="100"/>
            </w:tcMar>
            <w:vAlign w:val="center"/>
          </w:tcPr>
          <w:p>
            <w:r>
              <w:rPr>
                <w:b w:val="false"/>
                <w:bCs w:val="false"/>
                <w:sz w:val="19"/>
                <w:szCs w:val="19"/>
              </w:rPr>
              <w:t xml:space="preserve">Manage staff, invite PCP/BHCM/Psychiatrist, register patients, monitor alerts, view billing, export claims</w:t>
            </w:r>
          </w:p>
        </w:tc>
        <w:tc>
          <w:tcPr>
            <w:tcW w:type="dxa" w:w="2700"/>
            <w:shd w:fill="F2F2F2" w:color="auto" w:val="clear"/>
            <w:tcMar>
              <w:top w:type="dxa" w:w="80"/>
              <w:left w:type="dxa" w:w="100"/>
              <w:bottom w:type="dxa" w:w="80"/>
              <w:right w:type="dxa" w:w="100"/>
            </w:tcMar>
            <w:vAlign w:val="center"/>
          </w:tcPr>
          <w:p>
            <w:r>
              <w:rPr>
                <w:b w:val="false"/>
                <w:bCs w:val="false"/>
                <w:sz w:val="19"/>
                <w:szCs w:val="19"/>
              </w:rPr>
              <w:t xml:space="preserve">Cannot invite SuperAdmin</w:t>
            </w:r>
          </w:p>
        </w:tc>
      </w:tr>
      <w:tr>
        <w:tc>
          <w:tcPr>
            <w:tcW w:type="dxa" w:w="1700"/>
            <w:shd w:fill="FFFFFF" w:color="auto" w:val="clear"/>
            <w:tcMar>
              <w:top w:type="dxa" w:w="80"/>
              <w:left w:type="dxa" w:w="100"/>
              <w:bottom w:type="dxa" w:w="80"/>
              <w:right w:type="dxa" w:w="100"/>
            </w:tcMar>
            <w:vAlign w:val="center"/>
          </w:tcPr>
          <w:p>
            <w:r>
              <w:rPr>
                <w:b w:val="false"/>
                <w:bCs w:val="false"/>
                <w:sz w:val="19"/>
                <w:szCs w:val="19"/>
              </w:rPr>
              <w:t xml:space="preserve">PCP</w:t>
            </w:r>
          </w:p>
        </w:tc>
        <w:tc>
          <w:tcPr>
            <w:tcW w:type="dxa" w:w="1300"/>
            <w:shd w:fill="FFFFFF" w:color="auto" w:val="clear"/>
            <w:tcMar>
              <w:top w:type="dxa" w:w="80"/>
              <w:left w:type="dxa" w:w="100"/>
              <w:bottom w:type="dxa" w:w="80"/>
              <w:right w:type="dxa" w:w="100"/>
            </w:tcMar>
            <w:vAlign w:val="center"/>
          </w:tcPr>
          <w:p>
            <w:r>
              <w:rPr>
                <w:b w:val="false"/>
                <w:bCs w:val="false"/>
                <w:sz w:val="19"/>
                <w:szCs w:val="19"/>
              </w:rPr>
              <w:t xml:space="preserve">BUILT</w:t>
            </w:r>
          </w:p>
        </w:tc>
        <w:tc>
          <w:tcPr>
            <w:tcW w:type="dxa" w:w="2200"/>
            <w:shd w:fill="FFFFFF" w:color="auto" w:val="clear"/>
            <w:tcMar>
              <w:top w:type="dxa" w:w="80"/>
              <w:left w:type="dxa" w:w="100"/>
              <w:bottom w:type="dxa" w:w="80"/>
              <w:right w:type="dxa" w:w="100"/>
            </w:tcMar>
            <w:vAlign w:val="center"/>
          </w:tcPr>
          <w:p>
            <w:r>
              <w:rPr>
                <w:b w:val="false"/>
                <w:bCs w:val="false"/>
                <w:sz w:val="19"/>
                <w:szCs w:val="19"/>
              </w:rPr>
              <w:t xml:space="preserve">Lead clinical decision-maker</w:t>
            </w:r>
          </w:p>
        </w:tc>
        <w:tc>
          <w:tcPr>
            <w:tcW w:type="dxa" w:w="3300"/>
            <w:shd w:fill="FFFFFF" w:color="auto" w:val="clear"/>
            <w:tcMar>
              <w:top w:type="dxa" w:w="80"/>
              <w:left w:type="dxa" w:w="100"/>
              <w:bottom w:type="dxa" w:w="80"/>
              <w:right w:type="dxa" w:w="100"/>
            </w:tcMar>
            <w:vAlign w:val="center"/>
          </w:tcPr>
          <w:p>
            <w:r>
              <w:rPr>
                <w:b w:val="false"/>
                <w:bCs w:val="false"/>
                <w:sz w:val="19"/>
                <w:szCs w:val="19"/>
              </w:rPr>
              <w:t xml:space="preserve">Create/view patients, assign assessments, accept/decline CoCM, trigger referral/warm handoff, acknowledge alerts, log time</w:t>
            </w:r>
          </w:p>
        </w:tc>
        <w:tc>
          <w:tcPr>
            <w:tcW w:type="dxa" w:w="2700"/>
            <w:shd w:fill="FFFFFF" w:color="auto" w:val="clear"/>
            <w:tcMar>
              <w:top w:type="dxa" w:w="80"/>
              <w:left w:type="dxa" w:w="100"/>
              <w:bottom w:type="dxa" w:w="80"/>
              <w:right w:type="dxa" w:w="100"/>
            </w:tcMar>
            <w:vAlign w:val="center"/>
          </w:tcPr>
          <w:p>
            <w:r>
              <w:rPr>
                <w:b w:val="false"/>
                <w:bCs w:val="false"/>
                <w:sz w:val="19"/>
                <w:szCs w:val="19"/>
              </w:rPr>
              <w:t xml:space="preserve">—</w:t>
            </w:r>
          </w:p>
        </w:tc>
      </w:tr>
      <w:tr>
        <w:tc>
          <w:tcPr>
            <w:tcW w:type="dxa" w:w="1700"/>
            <w:shd w:fill="F2F2F2" w:color="auto" w:val="clear"/>
            <w:tcMar>
              <w:top w:type="dxa" w:w="80"/>
              <w:left w:type="dxa" w:w="100"/>
              <w:bottom w:type="dxa" w:w="80"/>
              <w:right w:type="dxa" w:w="100"/>
            </w:tcMar>
            <w:vAlign w:val="center"/>
          </w:tcPr>
          <w:p>
            <w:r>
              <w:rPr>
                <w:b w:val="false"/>
                <w:bCs w:val="false"/>
                <w:sz w:val="19"/>
                <w:szCs w:val="19"/>
              </w:rPr>
              <w:t xml:space="preserve">BHCM (was BHM)</w:t>
            </w:r>
          </w:p>
        </w:tc>
        <w:tc>
          <w:tcPr>
            <w:tcW w:type="dxa" w:w="1300"/>
            <w:shd w:fill="F2F2F2" w:color="auto" w:val="clear"/>
            <w:tcMar>
              <w:top w:type="dxa" w:w="80"/>
              <w:left w:type="dxa" w:w="100"/>
              <w:bottom w:type="dxa" w:w="80"/>
              <w:right w:type="dxa" w:w="100"/>
            </w:tcMar>
            <w:vAlign w:val="center"/>
          </w:tcPr>
          <w:p>
            <w:r>
              <w:rPr>
                <w:b w:val="false"/>
                <w:bCs w:val="false"/>
                <w:sz w:val="19"/>
                <w:szCs w:val="19"/>
              </w:rPr>
              <w:t xml:space="preserve">BUILT</w:t>
            </w:r>
          </w:p>
        </w:tc>
        <w:tc>
          <w:tcPr>
            <w:tcW w:type="dxa" w:w="2200"/>
            <w:shd w:fill="F2F2F2" w:color="auto" w:val="clear"/>
            <w:tcMar>
              <w:top w:type="dxa" w:w="80"/>
              <w:left w:type="dxa" w:w="100"/>
              <w:bottom w:type="dxa" w:w="80"/>
              <w:right w:type="dxa" w:w="100"/>
            </w:tcMar>
            <w:vAlign w:val="center"/>
          </w:tcPr>
          <w:p>
            <w:r>
              <w:rPr>
                <w:b w:val="false"/>
                <w:bCs w:val="false"/>
                <w:sz w:val="19"/>
                <w:szCs w:val="19"/>
              </w:rPr>
              <w:t xml:space="preserve">Behavioral health coordinator</w:t>
            </w:r>
          </w:p>
        </w:tc>
        <w:tc>
          <w:tcPr>
            <w:tcW w:type="dxa" w:w="3300"/>
            <w:shd w:fill="F2F2F2" w:color="auto" w:val="clear"/>
            <w:tcMar>
              <w:top w:type="dxa" w:w="80"/>
              <w:left w:type="dxa" w:w="100"/>
              <w:bottom w:type="dxa" w:w="80"/>
              <w:right w:type="dxa" w:w="100"/>
            </w:tcMar>
            <w:vAlign w:val="center"/>
          </w:tcPr>
          <w:p>
            <w:r>
              <w:rPr>
                <w:b w:val="false"/>
                <w:bCs w:val="false"/>
                <w:sz w:val="19"/>
                <w:szCs w:val="19"/>
              </w:rPr>
              <w:t xml:space="preserve">Caseload/worklist, review results, referral scheduling, join warm handoffs, care goals, message patient, log time, acknowledge alerts</w:t>
            </w:r>
          </w:p>
        </w:tc>
        <w:tc>
          <w:tcPr>
            <w:tcW w:type="dxa" w:w="2700"/>
            <w:shd w:fill="F2F2F2" w:color="auto" w:val="clear"/>
            <w:tcMar>
              <w:top w:type="dxa" w:w="80"/>
              <w:left w:type="dxa" w:w="100"/>
              <w:bottom w:type="dxa" w:w="80"/>
              <w:right w:type="dxa" w:w="100"/>
            </w:tcMar>
            <w:vAlign w:val="center"/>
          </w:tcPr>
          <w:p>
            <w:r>
              <w:rPr>
                <w:b w:val="false"/>
                <w:bCs w:val="false"/>
                <w:sz w:val="19"/>
                <w:szCs w:val="19"/>
              </w:rPr>
              <w:t xml:space="preserve">Has a max caseload cap</w:t>
            </w:r>
          </w:p>
        </w:tc>
      </w:tr>
      <w:tr>
        <w:tc>
          <w:tcPr>
            <w:tcW w:type="dxa" w:w="1700"/>
            <w:shd w:fill="FFFFFF" w:color="auto" w:val="clear"/>
            <w:tcMar>
              <w:top w:type="dxa" w:w="80"/>
              <w:left w:type="dxa" w:w="100"/>
              <w:bottom w:type="dxa" w:w="80"/>
              <w:right w:type="dxa" w:w="100"/>
            </w:tcMar>
            <w:vAlign w:val="center"/>
          </w:tcPr>
          <w:p>
            <w:r>
              <w:rPr>
                <w:b w:val="false"/>
                <w:bCs w:val="false"/>
                <w:sz w:val="19"/>
                <w:szCs w:val="19"/>
              </w:rPr>
              <w:t xml:space="preserve">Psychiatrist</w:t>
            </w:r>
          </w:p>
        </w:tc>
        <w:tc>
          <w:tcPr>
            <w:tcW w:type="dxa" w:w="1300"/>
            <w:shd w:fill="FFFFFF" w:color="auto" w:val="clear"/>
            <w:tcMar>
              <w:top w:type="dxa" w:w="80"/>
              <w:left w:type="dxa" w:w="100"/>
              <w:bottom w:type="dxa" w:w="80"/>
              <w:right w:type="dxa" w:w="100"/>
            </w:tcMar>
            <w:vAlign w:val="center"/>
          </w:tcPr>
          <w:p>
            <w:r>
              <w:rPr>
                <w:b w:val="false"/>
                <w:bCs w:val="false"/>
                <w:sz w:val="19"/>
                <w:szCs w:val="19"/>
              </w:rPr>
              <w:t xml:space="preserve">BUILT</w:t>
            </w:r>
          </w:p>
        </w:tc>
        <w:tc>
          <w:tcPr>
            <w:tcW w:type="dxa" w:w="2200"/>
            <w:shd w:fill="FFFFFF" w:color="auto" w:val="clear"/>
            <w:tcMar>
              <w:top w:type="dxa" w:w="80"/>
              <w:left w:type="dxa" w:w="100"/>
              <w:bottom w:type="dxa" w:w="80"/>
              <w:right w:type="dxa" w:w="100"/>
            </w:tcMar>
            <w:vAlign w:val="center"/>
          </w:tcPr>
          <w:p>
            <w:r>
              <w:rPr>
                <w:b w:val="false"/>
                <w:bCs w:val="false"/>
                <w:sz w:val="19"/>
                <w:szCs w:val="19"/>
              </w:rPr>
              <w:t xml:space="preserve">Consultant / advisor only</w:t>
            </w:r>
          </w:p>
        </w:tc>
        <w:tc>
          <w:tcPr>
            <w:tcW w:type="dxa" w:w="3300"/>
            <w:shd w:fill="FFFFFF" w:color="auto" w:val="clear"/>
            <w:tcMar>
              <w:top w:type="dxa" w:w="80"/>
              <w:left w:type="dxa" w:w="100"/>
              <w:bottom w:type="dxa" w:w="80"/>
              <w:right w:type="dxa" w:w="100"/>
            </w:tcMar>
            <w:vAlign w:val="center"/>
          </w:tcPr>
          <w:p>
            <w:r>
              <w:rPr>
                <w:b w:val="false"/>
                <w:bCs w:val="false"/>
                <w:sz w:val="19"/>
                <w:szCs w:val="19"/>
              </w:rPr>
              <w:t xml:space="preserve">View portal, see active/elevated/safety-risk cases, create recommendations to BHCM or PCP</w:t>
            </w:r>
          </w:p>
        </w:tc>
        <w:tc>
          <w:tcPr>
            <w:tcW w:type="dxa" w:w="2700"/>
            <w:shd w:fill="FFFFFF" w:color="auto" w:val="clear"/>
            <w:tcMar>
              <w:top w:type="dxa" w:w="80"/>
              <w:left w:type="dxa" w:w="100"/>
              <w:bottom w:type="dxa" w:w="80"/>
              <w:right w:type="dxa" w:w="100"/>
            </w:tcMar>
            <w:vAlign w:val="center"/>
          </w:tcPr>
          <w:p>
            <w:r>
              <w:rPr>
                <w:b w:val="false"/>
                <w:bCs w:val="false"/>
                <w:sz w:val="19"/>
                <w:szCs w:val="19"/>
              </w:rPr>
              <w:t xml:space="preserve">Cannot message patient directly, cannot join warm handoff, cannot acknowledge emergency alerts</w:t>
            </w:r>
          </w:p>
        </w:tc>
      </w:tr>
      <w:tr>
        <w:tc>
          <w:tcPr>
            <w:tcW w:type="dxa" w:w="1700"/>
            <w:shd w:fill="F2F2F2" w:color="auto" w:val="clear"/>
            <w:tcMar>
              <w:top w:type="dxa" w:w="80"/>
              <w:left w:type="dxa" w:w="100"/>
              <w:bottom w:type="dxa" w:w="80"/>
              <w:right w:type="dxa" w:w="100"/>
            </w:tcMar>
            <w:vAlign w:val="center"/>
          </w:tcPr>
          <w:p>
            <w:r>
              <w:rPr>
                <w:b w:val="false"/>
                <w:bCs w:val="false"/>
                <w:sz w:val="19"/>
                <w:szCs w:val="19"/>
              </w:rPr>
              <w:t xml:space="preserve">Patient</w:t>
            </w:r>
          </w:p>
        </w:tc>
        <w:tc>
          <w:tcPr>
            <w:tcW w:type="dxa" w:w="1300"/>
            <w:shd w:fill="F2F2F2" w:color="auto" w:val="clear"/>
            <w:tcMar>
              <w:top w:type="dxa" w:w="80"/>
              <w:left w:type="dxa" w:w="100"/>
              <w:bottom w:type="dxa" w:w="80"/>
              <w:right w:type="dxa" w:w="100"/>
            </w:tcMar>
            <w:vAlign w:val="center"/>
          </w:tcPr>
          <w:p>
            <w:r>
              <w:rPr>
                <w:b w:val="false"/>
                <w:bCs w:val="false"/>
                <w:sz w:val="19"/>
                <w:szCs w:val="19"/>
              </w:rPr>
              <w:t xml:space="preserve">PARTIAL</w:t>
            </w:r>
          </w:p>
        </w:tc>
        <w:tc>
          <w:tcPr>
            <w:tcW w:type="dxa" w:w="2200"/>
            <w:shd w:fill="F2F2F2" w:color="auto" w:val="clear"/>
            <w:tcMar>
              <w:top w:type="dxa" w:w="80"/>
              <w:left w:type="dxa" w:w="100"/>
              <w:bottom w:type="dxa" w:w="80"/>
              <w:right w:type="dxa" w:w="100"/>
            </w:tcMar>
            <w:vAlign w:val="center"/>
          </w:tcPr>
          <w:p>
            <w:r>
              <w:rPr>
                <w:b w:val="false"/>
                <w:bCs w:val="false"/>
                <w:sz w:val="19"/>
                <w:szCs w:val="19"/>
              </w:rPr>
              <w:t xml:space="preserve">Complete intake, consent, assessments</w:t>
            </w:r>
          </w:p>
        </w:tc>
        <w:tc>
          <w:tcPr>
            <w:tcW w:type="dxa" w:w="3300"/>
            <w:shd w:fill="F2F2F2" w:color="auto" w:val="clear"/>
            <w:tcMar>
              <w:top w:type="dxa" w:w="80"/>
              <w:left w:type="dxa" w:w="100"/>
              <w:bottom w:type="dxa" w:w="80"/>
              <w:right w:type="dxa" w:w="100"/>
            </w:tcMar>
            <w:vAlign w:val="center"/>
          </w:tcPr>
          <w:p>
            <w:r>
              <w:rPr>
                <w:b w:val="false"/>
                <w:bCs w:val="false"/>
                <w:sz w:val="19"/>
                <w:szCs w:val="19"/>
              </w:rPr>
              <w:t xml:space="preserve">Sign consent, complete SDOH &amp; assessments, join warm handoff video, message BHCM, view own care goals</w:t>
            </w:r>
          </w:p>
        </w:tc>
        <w:tc>
          <w:tcPr>
            <w:tcW w:type="dxa" w:w="2700"/>
            <w:shd w:fill="F2F2F2" w:color="auto" w:val="clear"/>
            <w:tcMar>
              <w:top w:type="dxa" w:w="80"/>
              <w:left w:type="dxa" w:w="100"/>
              <w:bottom w:type="dxa" w:w="80"/>
              <w:right w:type="dxa" w:w="100"/>
            </w:tcMar>
            <w:vAlign w:val="center"/>
          </w:tcPr>
          <w:p>
            <w:r>
              <w:rPr>
                <w:b w:val="false"/>
                <w:bCs w:val="false"/>
                <w:sz w:val="19"/>
                <w:szCs w:val="19"/>
              </w:rPr>
              <w:t xml:space="preserve">No password-setup email sent yet — cannot self-activate a standalone app account today</w:t>
            </w:r>
          </w:p>
        </w:tc>
      </w:tr>
    </w:tbl>
    <w:p>
      <w:pPr>
        <w:pStyle w:val="Heading1"/>
        <w:spacing w:after="200" w:before="400"/>
      </w:pPr>
      <w:r>
        <w:t xml:space="preserve">3. Assessment Chain — PHQ-2 / PHQ-9 / GAD-7 Logic</w:t>
      </w:r>
    </w:p>
    <w:p>
      <w:pPr>
        <w:spacing w:after="150"/>
      </w:pPr>
      <w:r>
        <w:rPr>
          <w:b w:val="false"/>
          <w:bCs w:val="false"/>
          <w:i w:val="false"/>
          <w:iCs w:val="false"/>
        </w:rPr>
        <w:t xml:space="preserve">This is the exact, corrected logic confirmed from the actual system:</w:t>
      </w:r>
    </w:p>
    <w:p>
      <w:pPr>
        <w:spacing w:after="20"/>
      </w:pPr>
      <w:r>
        <w:rPr>
          <w:rFonts w:ascii="Consolas" w:cs="Consolas" w:eastAsia="Consolas" w:hAnsi="Consolas"/>
          <w:sz w:val="18"/>
          <w:szCs w:val="18"/>
        </w:rPr>
        <w:t xml:space="preserve">Staff opens Patient Chart</w:t>
      </w:r>
    </w:p>
    <w:p>
      <w:pPr>
        <w:spacing w:after="20"/>
      </w:pPr>
      <w:r>
        <w:rPr>
          <w:rFonts w:ascii="Consolas" w:cs="Consolas" w:eastAsia="Consolas" w:hAnsi="Consolas"/>
          <w:sz w:val="18"/>
          <w:szCs w:val="18"/>
        </w:rPr>
        <w:t xml:space="preserve">  -&gt; Staff selects assessment template(s): [PHQ-2] [PHQ-9] [GAD-7]  (only these 3 exist today)</w:t>
      </w:r>
    </w:p>
    <w:p>
      <w:pPr>
        <w:spacing w:after="20"/>
      </w:pPr>
      <w:r>
        <w:rPr>
          <w:rFonts w:ascii="Consolas" w:cs="Consolas" w:eastAsia="Consolas" w:hAnsi="Consolas"/>
          <w:sz w:val="18"/>
          <w:szCs w:val="18"/>
        </w:rPr>
        <w:t xml:space="preserve">  -&gt; Staff clicks "Send/Launch to Kiosk"</w:t>
      </w:r>
    </w:p>
    <w:p>
      <w:pPr>
        <w:spacing w:after="20"/>
      </w:pPr>
      <w:r>
        <w:rPr>
          <w:rFonts w:ascii="Consolas" w:cs="Consolas" w:eastAsia="Consolas" w:hAnsi="Consolas"/>
          <w:sz w:val="18"/>
          <w:szCs w:val="18"/>
        </w:rPr>
        <w:t xml:space="preserve">     -&gt; 30-minute, single-patient, single-template Sanctum token created</w:t>
      </w:r>
    </w:p>
    <w:p>
      <w:pPr>
        <w:spacing w:after="20"/>
      </w:pPr>
      <w:r>
        <w:rPr>
          <w:rFonts w:ascii="Consolas" w:cs="Consolas" w:eastAsia="Consolas" w:hAnsi="Consolas"/>
          <w:sz w:val="18"/>
          <w:szCs w:val="18"/>
        </w:rPr>
        <w:t xml:space="preserve"/>
      </w:r>
    </w:p>
    <w:p>
      <w:pPr>
        <w:spacing w:after="20"/>
      </w:pPr>
      <w:r>
        <w:rPr>
          <w:rFonts w:ascii="Consolas" w:cs="Consolas" w:eastAsia="Consolas" w:hAnsi="Consolas"/>
          <w:sz w:val="18"/>
          <w:szCs w:val="18"/>
        </w:rPr>
        <w:t xml:space="preserve">PATIENT ON KIOSK:</w:t>
      </w:r>
    </w:p>
    <w:p>
      <w:pPr>
        <w:spacing w:after="20"/>
      </w:pPr>
      <w:r>
        <w:rPr>
          <w:rFonts w:ascii="Consolas" w:cs="Consolas" w:eastAsia="Consolas" w:hAnsi="Consolas"/>
          <w:sz w:val="18"/>
          <w:szCs w:val="18"/>
        </w:rPr>
        <w:t xml:space="preserve">  1) Identity confirm (first name + masked DOB)</w:t>
      </w:r>
    </w:p>
    <w:p>
      <w:pPr>
        <w:spacing w:after="20"/>
      </w:pPr>
      <w:r>
        <w:rPr>
          <w:rFonts w:ascii="Consolas" w:cs="Consolas" w:eastAsia="Consolas" w:hAnsi="Consolas"/>
          <w:sz w:val="18"/>
          <w:szCs w:val="18"/>
        </w:rPr>
        <w:t xml:space="preserve">  2) CoCM Consent (signature)</w:t>
      </w:r>
    </w:p>
    <w:p>
      <w:pPr>
        <w:spacing w:after="20"/>
      </w:pPr>
      <w:r>
        <w:rPr>
          <w:rFonts w:ascii="Consolas" w:cs="Consolas" w:eastAsia="Consolas" w:hAnsi="Consolas"/>
          <w:sz w:val="18"/>
          <w:szCs w:val="18"/>
        </w:rPr>
        <w:t xml:space="preserve">  3) SDOH (housing / food / transportation)</w:t>
      </w:r>
    </w:p>
    <w:p>
      <w:pPr>
        <w:spacing w:after="20"/>
      </w:pPr>
      <w:r>
        <w:rPr>
          <w:rFonts w:ascii="Consolas" w:cs="Consolas" w:eastAsia="Consolas" w:hAnsi="Consolas"/>
          <w:sz w:val="18"/>
          <w:szCs w:val="18"/>
        </w:rPr>
        <w:t xml:space="preserve">  4) PHQ-2 (2 questions, score range 0-6)</w:t>
      </w:r>
    </w:p>
    <w:p>
      <w:pPr>
        <w:spacing w:after="20"/>
      </w:pPr>
      <w:r>
        <w:rPr>
          <w:rFonts w:ascii="Consolas" w:cs="Consolas" w:eastAsia="Consolas" w:hAnsi="Consolas"/>
          <w:sz w:val="18"/>
          <w:szCs w:val="18"/>
        </w:rPr>
        <w:t xml:space="preserve">       score &lt; 3  -&gt; STOP HERE. No PHQ-9 needed.</w:t>
      </w:r>
    </w:p>
    <w:p>
      <w:pPr>
        <w:spacing w:after="20"/>
      </w:pPr>
      <w:r>
        <w:rPr>
          <w:rFonts w:ascii="Consolas" w:cs="Consolas" w:eastAsia="Consolas" w:hAnsi="Consolas"/>
          <w:sz w:val="18"/>
          <w:szCs w:val="18"/>
        </w:rPr>
        <w:t xml:space="preserve">       score &gt;= 3 -&gt; System AUTO-CREATES a PHQ-9 follow-up</w:t>
      </w:r>
    </w:p>
    <w:p>
      <w:pPr>
        <w:spacing w:after="20"/>
      </w:pPr>
      <w:r>
        <w:rPr>
          <w:rFonts w:ascii="Consolas" w:cs="Consolas" w:eastAsia="Consolas" w:hAnsi="Consolas"/>
          <w:sz w:val="18"/>
          <w:szCs w:val="18"/>
        </w:rPr>
        <w:t xml:space="preserve">                      Patient continues into PHQ-9 in the SAME kiosk session</w:t>
      </w:r>
    </w:p>
    <w:p>
      <w:pPr>
        <w:spacing w:after="20"/>
      </w:pPr>
      <w:r>
        <w:rPr>
          <w:rFonts w:ascii="Consolas" w:cs="Consolas" w:eastAsia="Consolas" w:hAnsi="Consolas"/>
          <w:sz w:val="18"/>
          <w:szCs w:val="18"/>
        </w:rPr>
        <w:t xml:space="preserve">                      (no re-launch, no staff action needed)</w:t>
      </w:r>
    </w:p>
    <w:p>
      <w:pPr>
        <w:spacing w:after="20"/>
      </w:pPr>
      <w:r>
        <w:rPr>
          <w:rFonts w:ascii="Consolas" w:cs="Consolas" w:eastAsia="Consolas" w:hAnsi="Consolas"/>
          <w:sz w:val="18"/>
          <w:szCs w:val="18"/>
        </w:rPr>
        <w:t xml:space="preserve">                      Question 9 of PHQ-9 = safety-risk item (positive -&gt; hard stop + alert)</w:t>
      </w:r>
    </w:p>
    <w:p>
      <w:pPr>
        <w:spacing w:after="20"/>
      </w:pPr>
      <w:r>
        <w:rPr>
          <w:rFonts w:ascii="Consolas" w:cs="Consolas" w:eastAsia="Consolas" w:hAnsi="Consolas"/>
          <w:sz w:val="18"/>
          <w:szCs w:val="18"/>
        </w:rPr>
        <w:t xml:space="preserve"/>
      </w:r>
    </w:p>
    <w:p>
      <w:pPr>
        <w:spacing w:after="20"/>
      </w:pPr>
      <w:r>
        <w:rPr>
          <w:rFonts w:ascii="Consolas" w:cs="Consolas" w:eastAsia="Consolas" w:hAnsi="Consolas"/>
          <w:sz w:val="18"/>
          <w:szCs w:val="18"/>
        </w:rPr>
        <w:t xml:space="preserve">GAD-7 (7 questions) - INDEPENDENT. Only runs if staff explicitly assigned it.</w:t>
      </w:r>
    </w:p>
    <w:p>
      <w:pPr>
        <w:spacing w:after="20"/>
      </w:pPr>
      <w:r>
        <w:rPr>
          <w:rFonts w:ascii="Consolas" w:cs="Consolas" w:eastAsia="Consolas" w:hAnsi="Consolas"/>
          <w:sz w:val="18"/>
          <w:szCs w:val="18"/>
        </w:rPr>
        <w:t xml:space="preserve">Not chained to PHQ-2 or PHQ-9 in any way. Final item has its own risk indicator.</w:t>
      </w:r>
    </w:p>
    <w:p>
      <w:pPr>
        <w:spacing w:after="150"/>
      </w:pPr>
      <w:r>
        <w:rPr>
          <w:b/>
          <w:bCs/>
          <w:i w:val="false"/>
          <w:iCs w:val="false"/>
        </w:rPr>
        <w:t xml:space="preserve">Simple rule to remember:</w:t>
      </w:r>
    </w:p>
    <w:p>
      <w:pPr>
        <w:pStyle w:val="ListParagraph"/>
        <w:numPr>
          <w:ilvl w:val="0"/>
          <w:numId w:val="1"/>
        </w:numPr>
        <w:spacing w:after="80"/>
      </w:pPr>
      <w:r>
        <w:t xml:space="preserve">PHQ-2 = the "gatekeeper" quick screen. Only decides whether PHQ-9 is needed.</w:t>
      </w:r>
    </w:p>
    <w:p>
      <w:pPr>
        <w:pStyle w:val="ListParagraph"/>
        <w:numPr>
          <w:ilvl w:val="0"/>
          <w:numId w:val="1"/>
        </w:numPr>
        <w:spacing w:after="80"/>
      </w:pPr>
      <w:r>
        <w:t xml:space="preserve">PHQ-9 = the full depression assessment. Auto-triggered by PHQ-2, or can be assigned directly by staff.</w:t>
      </w:r>
    </w:p>
    <w:p>
      <w:pPr>
        <w:pStyle w:val="ListParagraph"/>
        <w:numPr>
          <w:ilvl w:val="0"/>
          <w:numId w:val="1"/>
        </w:numPr>
        <w:spacing w:after="80"/>
      </w:pPr>
      <w:r>
        <w:t xml:space="preserve">GAD-7 = a totally separate anxiety assessment. Lives on its own track, staff decides whether to include it.</w:t>
      </w:r>
    </w:p>
    <w:p>
      <w:pPr>
        <w:pStyle w:val="Heading1"/>
        <w:spacing w:after="200" w:before="400"/>
      </w:pPr>
      <w:r>
        <w:t xml:space="preserve">4. Kiosk Flow — Corrected (Only One Real Path Exists)</w:t>
      </w:r>
    </w:p>
    <w:p>
      <w:pPr>
        <w:spacing w:after="150"/>
      </w:pPr>
      <w:r>
        <w:rPr>
          <w:b w:val="false"/>
          <w:bCs w:val="false"/>
          <w:i w:val="false"/>
          <w:iCs w:val="false"/>
        </w:rPr>
        <w:t xml:space="preserve">Earlier we discussed two possible kiosk on-ramps: staff-controlled vs. patient self-scan QR check-in. The actual built system only implements the staff-controlled path.</w:t>
      </w:r>
    </w:p>
    <w:tbl>
      <w:tblPr>
        <w:tblW w:type="dxa" w:w="9200"/>
        <w:tblBorders>
          <w:top w:val="single" w:color="auto" w:sz="4"/>
          <w:left w:val="single" w:color="auto" w:sz="4"/>
          <w:bottom w:val="single" w:color="auto" w:sz="4"/>
          <w:right w:val="single" w:color="auto" w:sz="4"/>
          <w:insideH w:val="single" w:color="auto" w:sz="4"/>
          <w:insideV w:val="single" w:color="auto" w:sz="4"/>
        </w:tblBorders>
      </w:tblPr>
      <w:tblGrid>
        <w:gridCol w:w="2600"/>
        <w:gridCol w:w="3200"/>
        <w:gridCol w:w="3400"/>
      </w:tblGrid>
      <w:tr>
        <w:trPr>
          <w:tblHeader/>
        </w:trPr>
        <w:tc>
          <w:tcPr>
            <w:tcW w:type="dxa" w:w="2600"/>
            <w:shd w:fill="1F3864" w:color="auto" w:val="clear"/>
            <w:tcMar>
              <w:top w:type="dxa" w:w="80"/>
              <w:left w:type="dxa" w:w="100"/>
              <w:bottom w:type="dxa" w:w="80"/>
              <w:right w:type="dxa" w:w="100"/>
            </w:tcMar>
            <w:vAlign w:val="center"/>
          </w:tcPr>
          <w:p>
            <w:r>
              <w:rPr>
                <w:b/>
                <w:bCs/>
                <w:color w:val="FFFFFF"/>
                <w:sz w:val="19"/>
                <w:szCs w:val="19"/>
              </w:rPr>
              <w:t xml:space="preserve">Question</w:t>
            </w:r>
          </w:p>
        </w:tc>
        <w:tc>
          <w:tcPr>
            <w:tcW w:type="dxa" w:w="3200"/>
            <w:shd w:fill="1F3864" w:color="auto" w:val="clear"/>
            <w:tcMar>
              <w:top w:type="dxa" w:w="80"/>
              <w:left w:type="dxa" w:w="100"/>
              <w:bottom w:type="dxa" w:w="80"/>
              <w:right w:type="dxa" w:w="100"/>
            </w:tcMar>
            <w:vAlign w:val="center"/>
          </w:tcPr>
          <w:p>
            <w:r>
              <w:rPr>
                <w:b/>
                <w:bCs/>
                <w:color w:val="FFFFFF"/>
                <w:sz w:val="19"/>
                <w:szCs w:val="19"/>
              </w:rPr>
              <w:t xml:space="preserve">Earlier Assumption (Vision Docs)</w:t>
            </w:r>
          </w:p>
        </w:tc>
        <w:tc>
          <w:tcPr>
            <w:tcW w:type="dxa" w:w="3400"/>
            <w:shd w:fill="1F3864" w:color="auto" w:val="clear"/>
            <w:tcMar>
              <w:top w:type="dxa" w:w="80"/>
              <w:left w:type="dxa" w:w="100"/>
              <w:bottom w:type="dxa" w:w="80"/>
              <w:right w:type="dxa" w:w="100"/>
            </w:tcMar>
            <w:vAlign w:val="center"/>
          </w:tcPr>
          <w:p>
            <w:r>
              <w:rPr>
                <w:b/>
                <w:bCs/>
                <w:color w:val="FFFFFF"/>
                <w:sz w:val="19"/>
                <w:szCs w:val="19"/>
              </w:rPr>
              <w:t xml:space="preserve">Actual Built System</w:t>
            </w:r>
          </w:p>
        </w:tc>
      </w:tr>
      <w:tr>
        <w:tc>
          <w:tcPr>
            <w:tcW w:type="dxa" w:w="2600"/>
            <w:shd w:fill="FFFFFF" w:color="auto" w:val="clear"/>
            <w:tcMar>
              <w:top w:type="dxa" w:w="80"/>
              <w:left w:type="dxa" w:w="100"/>
              <w:bottom w:type="dxa" w:w="80"/>
              <w:right w:type="dxa" w:w="100"/>
            </w:tcMar>
            <w:vAlign w:val="center"/>
          </w:tcPr>
          <w:p>
            <w:r>
              <w:rPr>
                <w:b w:val="false"/>
                <w:bCs w:val="false"/>
                <w:sz w:val="19"/>
                <w:szCs w:val="19"/>
              </w:rPr>
              <w:t xml:space="preserve">Who creates the patient record?</w:t>
            </w:r>
          </w:p>
        </w:tc>
        <w:tc>
          <w:tcPr>
            <w:tcW w:type="dxa" w:w="3200"/>
            <w:shd w:fill="FFFFFF" w:color="auto" w:val="clear"/>
            <w:tcMar>
              <w:top w:type="dxa" w:w="80"/>
              <w:left w:type="dxa" w:w="100"/>
              <w:bottom w:type="dxa" w:w="80"/>
              <w:right w:type="dxa" w:w="100"/>
            </w:tcMar>
            <w:vAlign w:val="center"/>
          </w:tcPr>
          <w:p>
            <w:r>
              <w:rPr>
                <w:b w:val="false"/>
                <w:bCs w:val="false"/>
                <w:sz w:val="19"/>
                <w:szCs w:val="19"/>
              </w:rPr>
              <w:t xml:space="preserve">Staff OR patient via QR self-check-in</w:t>
            </w:r>
          </w:p>
        </w:tc>
        <w:tc>
          <w:tcPr>
            <w:tcW w:type="dxa" w:w="3400"/>
            <w:shd w:fill="FFFFFF" w:color="auto" w:val="clear"/>
            <w:tcMar>
              <w:top w:type="dxa" w:w="80"/>
              <w:left w:type="dxa" w:w="100"/>
              <w:bottom w:type="dxa" w:w="80"/>
              <w:right w:type="dxa" w:w="100"/>
            </w:tcMar>
            <w:vAlign w:val="center"/>
          </w:tcPr>
          <w:p>
            <w:r>
              <w:rPr>
                <w:b w:val="false"/>
                <w:bCs w:val="false"/>
                <w:sz w:val="19"/>
                <w:szCs w:val="19"/>
              </w:rPr>
              <w:t xml:space="preserve">Staff only (SuperAdmin / Clinic Admin / PCP / BHCM)</w:t>
            </w:r>
          </w:p>
        </w:tc>
      </w:tr>
      <w:tr>
        <w:tc>
          <w:tcPr>
            <w:tcW w:type="dxa" w:w="2600"/>
            <w:shd w:fill="F2F2F2" w:color="auto" w:val="clear"/>
            <w:tcMar>
              <w:top w:type="dxa" w:w="80"/>
              <w:left w:type="dxa" w:w="100"/>
              <w:bottom w:type="dxa" w:w="80"/>
              <w:right w:type="dxa" w:w="100"/>
            </w:tcMar>
            <w:vAlign w:val="center"/>
          </w:tcPr>
          <w:p>
            <w:r>
              <w:rPr>
                <w:b w:val="false"/>
                <w:bCs w:val="false"/>
                <w:sz w:val="19"/>
                <w:szCs w:val="19"/>
              </w:rPr>
              <w:t xml:space="preserve">Can a patient self-register at a kiosk?</w:t>
            </w:r>
          </w:p>
        </w:tc>
        <w:tc>
          <w:tcPr>
            <w:tcW w:type="dxa" w:w="3200"/>
            <w:shd w:fill="F2F2F2" w:color="auto" w:val="clear"/>
            <w:tcMar>
              <w:top w:type="dxa" w:w="80"/>
              <w:left w:type="dxa" w:w="100"/>
              <w:bottom w:type="dxa" w:w="80"/>
              <w:right w:type="dxa" w:w="100"/>
            </w:tcMar>
            <w:vAlign w:val="center"/>
          </w:tcPr>
          <w:p>
            <w:r>
              <w:rPr>
                <w:b w:val="false"/>
                <w:bCs w:val="false"/>
                <w:sz w:val="19"/>
                <w:szCs w:val="19"/>
              </w:rPr>
              <w:t xml:space="preserve">Possibly</w:t>
            </w:r>
          </w:p>
        </w:tc>
        <w:tc>
          <w:tcPr>
            <w:tcW w:type="dxa" w:w="3400"/>
            <w:shd w:fill="F2F2F2" w:color="auto" w:val="clear"/>
            <w:tcMar>
              <w:top w:type="dxa" w:w="80"/>
              <w:left w:type="dxa" w:w="100"/>
              <w:bottom w:type="dxa" w:w="80"/>
              <w:right w:type="dxa" w:w="100"/>
            </w:tcMar>
            <w:vAlign w:val="center"/>
          </w:tcPr>
          <w:p>
            <w:r>
              <w:rPr>
                <w:b w:val="false"/>
                <w:bCs w:val="false"/>
                <w:sz w:val="19"/>
                <w:szCs w:val="19"/>
              </w:rPr>
              <w:t xml:space="preserve">No — patient must already exist in the Patient Registry first</w:t>
            </w:r>
          </w:p>
        </w:tc>
      </w:tr>
      <w:tr>
        <w:tc>
          <w:tcPr>
            <w:tcW w:type="dxa" w:w="2600"/>
            <w:shd w:fill="FFFFFF" w:color="auto" w:val="clear"/>
            <w:tcMar>
              <w:top w:type="dxa" w:w="80"/>
              <w:left w:type="dxa" w:w="100"/>
              <w:bottom w:type="dxa" w:w="80"/>
              <w:right w:type="dxa" w:w="100"/>
            </w:tcMar>
            <w:vAlign w:val="center"/>
          </w:tcPr>
          <w:p>
            <w:r>
              <w:rPr>
                <w:b w:val="false"/>
                <w:bCs w:val="false"/>
                <w:sz w:val="19"/>
                <w:szCs w:val="19"/>
              </w:rPr>
              <w:t xml:space="preserve">What activates the kiosk?</w:t>
            </w:r>
          </w:p>
        </w:tc>
        <w:tc>
          <w:tcPr>
            <w:tcW w:type="dxa" w:w="3200"/>
            <w:shd w:fill="FFFFFF" w:color="auto" w:val="clear"/>
            <w:tcMar>
              <w:top w:type="dxa" w:w="80"/>
              <w:left w:type="dxa" w:w="100"/>
              <w:bottom w:type="dxa" w:w="80"/>
              <w:right w:type="dxa" w:w="100"/>
            </w:tcMar>
            <w:vAlign w:val="center"/>
          </w:tcPr>
          <w:p>
            <w:r>
              <w:rPr>
                <w:b w:val="false"/>
                <w:bCs w:val="false"/>
                <w:sz w:val="19"/>
                <w:szCs w:val="19"/>
              </w:rPr>
              <w:t xml:space="preserve">Session push OR QR scan by patient</w:t>
            </w:r>
          </w:p>
        </w:tc>
        <w:tc>
          <w:tcPr>
            <w:tcW w:type="dxa" w:w="3400"/>
            <w:shd w:fill="FFFFFF" w:color="auto" w:val="clear"/>
            <w:tcMar>
              <w:top w:type="dxa" w:w="80"/>
              <w:left w:type="dxa" w:w="100"/>
              <w:bottom w:type="dxa" w:w="80"/>
              <w:right w:type="dxa" w:w="100"/>
            </w:tcMar>
            <w:vAlign w:val="center"/>
          </w:tcPr>
          <w:p>
            <w:r>
              <w:rPr>
                <w:b w:val="false"/>
                <w:bCs w:val="false"/>
                <w:sz w:val="19"/>
                <w:szCs w:val="19"/>
              </w:rPr>
              <w:t xml:space="preserve">Only a staff-generated 30-minute Sanctum token (kioskhandover, ability kiosk:screening)</w:t>
            </w:r>
          </w:p>
        </w:tc>
      </w:tr>
      <w:tr>
        <w:tc>
          <w:tcPr>
            <w:tcW w:type="dxa" w:w="2600"/>
            <w:shd w:fill="F2F2F2" w:color="auto" w:val="clear"/>
            <w:tcMar>
              <w:top w:type="dxa" w:w="80"/>
              <w:left w:type="dxa" w:w="100"/>
              <w:bottom w:type="dxa" w:w="80"/>
              <w:right w:type="dxa" w:w="100"/>
            </w:tcMar>
            <w:vAlign w:val="center"/>
          </w:tcPr>
          <w:p>
            <w:r>
              <w:rPr>
                <w:b w:val="false"/>
                <w:bCs w:val="false"/>
                <w:sz w:val="19"/>
                <w:szCs w:val="19"/>
              </w:rPr>
              <w:t xml:space="preserve">What can the token access?</w:t>
            </w:r>
          </w:p>
        </w:tc>
        <w:tc>
          <w:tcPr>
            <w:tcW w:type="dxa" w:w="3200"/>
            <w:shd w:fill="F2F2F2" w:color="auto" w:val="clear"/>
            <w:tcMar>
              <w:top w:type="dxa" w:w="80"/>
              <w:left w:type="dxa" w:w="100"/>
              <w:bottom w:type="dxa" w:w="80"/>
              <w:right w:type="dxa" w:w="100"/>
            </w:tcMar>
            <w:vAlign w:val="center"/>
          </w:tcPr>
          <w:p>
            <w:r>
              <w:rPr>
                <w:b w:val="false"/>
                <w:bCs w:val="false"/>
                <w:sz w:val="19"/>
                <w:szCs w:val="19"/>
              </w:rPr>
              <w:t xml:space="preserve">—</w:t>
            </w:r>
          </w:p>
        </w:tc>
        <w:tc>
          <w:tcPr>
            <w:tcW w:type="dxa" w:w="3400"/>
            <w:shd w:fill="F2F2F2" w:color="auto" w:val="clear"/>
            <w:tcMar>
              <w:top w:type="dxa" w:w="80"/>
              <w:left w:type="dxa" w:w="100"/>
              <w:bottom w:type="dxa" w:w="80"/>
              <w:right w:type="dxa" w:w="100"/>
            </w:tcMar>
            <w:vAlign w:val="center"/>
          </w:tcPr>
          <w:p>
            <w:r>
              <w:rPr>
                <w:b w:val="false"/>
                <w:bCs w:val="false"/>
                <w:sz w:val="19"/>
                <w:szCs w:val="19"/>
              </w:rPr>
              <w:t xml:space="preserve">Only the one patient + the one selected assessment/template; normal provider API routes are rejected</w:t>
            </w:r>
          </w:p>
        </w:tc>
      </w:tr>
      <w:tr>
        <w:tc>
          <w:tcPr>
            <w:tcW w:type="dxa" w:w="2600"/>
            <w:shd w:fill="FFFFFF" w:color="auto" w:val="clear"/>
            <w:tcMar>
              <w:top w:type="dxa" w:w="80"/>
              <w:left w:type="dxa" w:w="100"/>
              <w:bottom w:type="dxa" w:w="80"/>
              <w:right w:type="dxa" w:w="100"/>
            </w:tcMar>
            <w:vAlign w:val="center"/>
          </w:tcPr>
          <w:p>
            <w:r>
              <w:rPr>
                <w:b w:val="false"/>
                <w:bCs w:val="false"/>
                <w:sz w:val="19"/>
                <w:szCs w:val="19"/>
              </w:rPr>
              <w:t xml:space="preserve">What does the patient do on the kiosk?</w:t>
            </w:r>
          </w:p>
        </w:tc>
        <w:tc>
          <w:tcPr>
            <w:tcW w:type="dxa" w:w="3200"/>
            <w:shd w:fill="FFFFFF" w:color="auto" w:val="clear"/>
            <w:tcMar>
              <w:top w:type="dxa" w:w="80"/>
              <w:left w:type="dxa" w:w="100"/>
              <w:bottom w:type="dxa" w:w="80"/>
              <w:right w:type="dxa" w:w="100"/>
            </w:tcMar>
            <w:vAlign w:val="center"/>
          </w:tcPr>
          <w:p>
            <w:r>
              <w:rPr>
                <w:b w:val="false"/>
                <w:bCs w:val="false"/>
                <w:sz w:val="19"/>
                <w:szCs w:val="19"/>
              </w:rPr>
              <w:t xml:space="preserve">Identity confirm -&gt; answer questions</w:t>
            </w:r>
          </w:p>
        </w:tc>
        <w:tc>
          <w:tcPr>
            <w:tcW w:type="dxa" w:w="3400"/>
            <w:shd w:fill="FFFFFF" w:color="auto" w:val="clear"/>
            <w:tcMar>
              <w:top w:type="dxa" w:w="80"/>
              <w:left w:type="dxa" w:w="100"/>
              <w:bottom w:type="dxa" w:w="80"/>
              <w:right w:type="dxa" w:w="100"/>
            </w:tcMar>
            <w:vAlign w:val="center"/>
          </w:tcPr>
          <w:p>
            <w:r>
              <w:rPr>
                <w:b w:val="false"/>
                <w:bCs w:val="false"/>
                <w:sz w:val="19"/>
                <w:szCs w:val="19"/>
              </w:rPr>
              <w:t xml:space="preserve">Identity confirm -&gt; Consent -&gt; SDOH -&gt; Assessment(s)</w:t>
            </w:r>
          </w:p>
        </w:tc>
      </w:tr>
    </w:tbl>
    <w:p>
      <w:pPr>
        <w:spacing w:after="150"/>
      </w:pPr>
      <w:r>
        <w:rPr>
          <w:b w:val="false"/>
          <w:bCs w:val="false"/>
          <w:i/>
          <w:iCs/>
        </w:rPr>
        <w:t xml:space="preserve">Security hardening confirmed: token is short-lived (30 minutes), single-patient scope, single-questionnaire scope, and cannot browse any other patient or tenant data even if intercepted.</w:t>
      </w:r>
    </w:p>
    <w:p>
      <w:pPr>
        <w:pStyle w:val="Heading1"/>
        <w:spacing w:after="200" w:before="400"/>
      </w:pPr>
      <w:r>
        <w:t xml:space="preserve">5. Emergency Safety Alert — Exact Technical Sequence</w:t>
      </w:r>
    </w:p>
    <w:p>
      <w:pPr>
        <w:pStyle w:val="ListParagraph"/>
        <w:numPr>
          <w:ilvl w:val="0"/>
          <w:numId w:val="2"/>
        </w:numPr>
        <w:spacing w:after="80"/>
      </w:pPr>
      <w:r>
        <w:t xml:space="preserve">Patient answers a question flagged as a critical safety item (PHQ-9 Q9, GAD-7's configured final-item risk indicator) — the answer is positive.</w:t>
      </w:r>
    </w:p>
    <w:p>
      <w:pPr>
        <w:pStyle w:val="ListParagraph"/>
        <w:numPr>
          <w:ilvl w:val="0"/>
          <w:numId w:val="2"/>
        </w:numPr>
        <w:spacing w:after="80"/>
      </w:pPr>
      <w:r>
        <w:t xml:space="preserve">Backend saves the answer, sets has_safety_risk = true on that assessment response.</w:t>
      </w:r>
    </w:p>
    <w:p>
      <w:pPr>
        <w:pStyle w:val="ListParagraph"/>
        <w:numPr>
          <w:ilvl w:val="0"/>
          <w:numId w:val="2"/>
        </w:numPr>
        <w:spacing w:after="80"/>
      </w:pPr>
      <w:r>
        <w:t xml:space="preserve">If the response is otherwise complete/scoreable, total_score is still saved.</w:t>
      </w:r>
    </w:p>
    <w:p>
      <w:pPr>
        <w:pStyle w:val="ListParagraph"/>
        <w:numPr>
          <w:ilvl w:val="0"/>
          <w:numId w:val="2"/>
        </w:numPr>
        <w:spacing w:after="80"/>
      </w:pPr>
      <w:r>
        <w:t xml:space="preserve">Backend snapshots the exact question text for legal/audit history.</w:t>
      </w:r>
    </w:p>
    <w:p>
      <w:pPr>
        <w:pStyle w:val="ListParagraph"/>
        <w:numPr>
          <w:ilvl w:val="0"/>
          <w:numId w:val="2"/>
        </w:numPr>
        <w:spacing w:after="80"/>
      </w:pPr>
      <w:r>
        <w:t xml:space="preserve">A new row is created in emergency_safety_alerts (tenant id, patient id, response id, question key/text, answer value, timestamp).</w:t>
      </w:r>
    </w:p>
    <w:p>
      <w:pPr>
        <w:pStyle w:val="ListParagraph"/>
        <w:numPr>
          <w:ilvl w:val="0"/>
          <w:numId w:val="2"/>
        </w:numPr>
        <w:spacing w:after="80"/>
      </w:pPr>
      <w:r>
        <w:t xml:space="preserve">Event is broadcast in real time + push notification sent to: assigned PCP, assigned BHCM, and every Clinic Admin in that tenant.</w:t>
      </w:r>
    </w:p>
    <w:p>
      <w:pPr>
        <w:pStyle w:val="ListParagraph"/>
        <w:numPr>
          <w:ilvl w:val="0"/>
          <w:numId w:val="2"/>
        </w:numPr>
        <w:spacing w:after="80"/>
      </w:pPr>
      <w:r>
        <w:t xml:space="preserve">The patient's kiosk screen receives action = halt_survey, moving to a non-dismissable safety-halt screen.</w:t>
      </w:r>
    </w:p>
    <w:p>
      <w:pPr>
        <w:pStyle w:val="ListParagraph"/>
        <w:numPr>
          <w:ilvl w:val="0"/>
          <w:numId w:val="2"/>
        </w:numPr>
        <w:spacing w:after="80"/>
      </w:pPr>
      <w:r>
        <w:t xml:space="preserve">Staff sees it in a global emergency alert widget/drawer visible from any admin screen.</w:t>
      </w:r>
    </w:p>
    <w:p>
      <w:pPr>
        <w:pStyle w:val="ListParagraph"/>
        <w:numPr>
          <w:ilvl w:val="0"/>
          <w:numId w:val="2"/>
        </w:numPr>
        <w:spacing w:after="80"/>
      </w:pPr>
      <w:r>
        <w:t xml:space="preserve">Whoever opens it (PCP / BHCM / Clinic Admin / SuperAdmin — never the Psychiatrist) must acknowledge physical intervention (stamps acknowledged_timestamp + acknowledged_by_user_id).</w:t>
      </w:r>
    </w:p>
    <w:p>
      <w:pPr>
        <w:pStyle w:val="ListParagraph"/>
        <w:numPr>
          <w:ilvl w:val="0"/>
          <w:numId w:val="2"/>
        </w:numPr>
        <w:spacing w:after="80"/>
      </w:pPr>
      <w:r>
        <w:t xml:space="preserve">Acknowledgement broadcasts to all other open dashboards; every read/action here is PHI-audit-logged.</w:t>
      </w:r>
    </w:p>
    <w:p>
      <w:pPr>
        <w:spacing w:after="150"/>
      </w:pPr>
      <w:r>
        <w:rPr>
          <w:b/>
          <w:bCs/>
          <w:i w:val="false"/>
          <w:iCs w:val="false"/>
          <w:color w:val="C0392B"/>
        </w:rPr>
        <w:t xml:space="preserve">RISK flagged by the source document itself: the "is this answer positive?" evaluator is currently too simple — it just checks for boolean true, any number greater than 0, or the strings "yes"/"true"/"1". This must be clinically reviewed before relying on it for real patients.</w:t>
      </w:r>
    </w:p>
    <w:p>
      <w:pPr>
        <w:pStyle w:val="Heading1"/>
        <w:spacing w:after="200" w:before="400"/>
      </w:pPr>
      <w:r>
        <w:t xml:space="preserve">6. Care Team Decisions After Screening</w:t>
      </w:r>
    </w:p>
    <w:tbl>
      <w:tblPr>
        <w:tblW w:type="dxa" w:w="9200"/>
        <w:tblBorders>
          <w:top w:val="single" w:color="auto" w:sz="4"/>
          <w:left w:val="single" w:color="auto" w:sz="4"/>
          <w:bottom w:val="single" w:color="auto" w:sz="4"/>
          <w:right w:val="single" w:color="auto" w:sz="4"/>
          <w:insideH w:val="single" w:color="auto" w:sz="4"/>
          <w:insideV w:val="single" w:color="auto" w:sz="4"/>
        </w:tblBorders>
      </w:tblPr>
      <w:tblGrid>
        <w:gridCol w:w="2400"/>
        <w:gridCol w:w="6800"/>
      </w:tblGrid>
      <w:tr>
        <w:trPr>
          <w:tblHeader/>
        </w:trPr>
        <w:tc>
          <w:tcPr>
            <w:tcW w:type="dxa" w:w="2400"/>
            <w:shd w:fill="1F3864" w:color="auto" w:val="clear"/>
            <w:tcMar>
              <w:top w:type="dxa" w:w="80"/>
              <w:left w:type="dxa" w:w="100"/>
              <w:bottom w:type="dxa" w:w="80"/>
              <w:right w:type="dxa" w:w="100"/>
            </w:tcMar>
            <w:vAlign w:val="center"/>
          </w:tcPr>
          <w:p>
            <w:r>
              <w:rPr>
                <w:b/>
                <w:bCs/>
                <w:color w:val="FFFFFF"/>
                <w:sz w:val="19"/>
                <w:szCs w:val="19"/>
              </w:rPr>
              <w:t xml:space="preserve">Path</w:t>
            </w:r>
          </w:p>
        </w:tc>
        <w:tc>
          <w:tcPr>
            <w:tcW w:type="dxa" w:w="6800"/>
            <w:shd w:fill="1F3864" w:color="auto" w:val="clear"/>
            <w:tcMar>
              <w:top w:type="dxa" w:w="80"/>
              <w:left w:type="dxa" w:w="100"/>
              <w:bottom w:type="dxa" w:w="80"/>
              <w:right w:type="dxa" w:w="100"/>
            </w:tcMar>
            <w:vAlign w:val="center"/>
          </w:tcPr>
          <w:p>
            <w:r>
              <w:rPr>
                <w:b/>
                <w:bCs/>
                <w:color w:val="FFFFFF"/>
                <w:sz w:val="19"/>
                <w:szCs w:val="19"/>
              </w:rPr>
              <w:t xml:space="preserve">What Actually Happens</w:t>
            </w:r>
          </w:p>
        </w:tc>
      </w:tr>
      <w:tr>
        <w:tc>
          <w:tcPr>
            <w:tcW w:type="dxa" w:w="2400"/>
            <w:shd w:fill="FFFFFF" w:color="auto" w:val="clear"/>
            <w:tcMar>
              <w:top w:type="dxa" w:w="80"/>
              <w:left w:type="dxa" w:w="100"/>
              <w:bottom w:type="dxa" w:w="80"/>
              <w:right w:type="dxa" w:w="100"/>
            </w:tcMar>
            <w:vAlign w:val="center"/>
          </w:tcPr>
          <w:p>
            <w:r>
              <w:rPr>
                <w:b w:val="false"/>
                <w:bCs w:val="false"/>
                <w:sz w:val="19"/>
                <w:szCs w:val="19"/>
              </w:rPr>
              <w:t xml:space="preserve">Accept into CoCM</w:t>
            </w:r>
          </w:p>
        </w:tc>
        <w:tc>
          <w:tcPr>
            <w:tcW w:type="dxa" w:w="6800"/>
            <w:shd w:fill="FFFFFF" w:color="auto" w:val="clear"/>
            <w:tcMar>
              <w:top w:type="dxa" w:w="80"/>
              <w:left w:type="dxa" w:w="100"/>
              <w:bottom w:type="dxa" w:w="80"/>
              <w:right w:type="dxa" w:w="100"/>
            </w:tcMar>
            <w:vAlign w:val="center"/>
          </w:tcPr>
          <w:p>
            <w:r>
              <w:rPr>
                <w:b w:val="false"/>
                <w:bCs w:val="false"/>
                <w:sz w:val="19"/>
                <w:szCs w:val="19"/>
              </w:rPr>
              <w:t xml:space="preserve">Staff marks accepted -&gt; co_cm_status becomes active -&gt; enrollment date set if missing -&gt; patient counted in active CoCM billing/reporting checks</w:t>
            </w:r>
          </w:p>
        </w:tc>
      </w:tr>
      <w:tr>
        <w:tc>
          <w:tcPr>
            <w:tcW w:type="dxa" w:w="2400"/>
            <w:shd w:fill="F2F2F2" w:color="auto" w:val="clear"/>
            <w:tcMar>
              <w:top w:type="dxa" w:w="80"/>
              <w:left w:type="dxa" w:w="100"/>
              <w:bottom w:type="dxa" w:w="80"/>
              <w:right w:type="dxa" w:w="100"/>
            </w:tcMar>
            <w:vAlign w:val="center"/>
          </w:tcPr>
          <w:p>
            <w:r>
              <w:rPr>
                <w:b w:val="false"/>
                <w:bCs w:val="false"/>
                <w:sz w:val="19"/>
                <w:szCs w:val="19"/>
              </w:rPr>
              <w:t xml:space="preserve">Decline CoCM</w:t>
            </w:r>
          </w:p>
        </w:tc>
        <w:tc>
          <w:tcPr>
            <w:tcW w:type="dxa" w:w="6800"/>
            <w:shd w:fill="F2F2F2" w:color="auto" w:val="clear"/>
            <w:tcMar>
              <w:top w:type="dxa" w:w="80"/>
              <w:left w:type="dxa" w:w="100"/>
              <w:bottom w:type="dxa" w:w="80"/>
              <w:right w:type="dxa" w:w="100"/>
            </w:tcMar>
            <w:vAlign w:val="center"/>
          </w:tcPr>
          <w:p>
            <w:r>
              <w:rPr>
                <w:b w:val="false"/>
                <w:bCs w:val="false"/>
                <w:sz w:val="19"/>
                <w:szCs w:val="19"/>
              </w:rPr>
              <w:t xml:space="preserve">Staff must record a decline reason (required) -&gt; co_cm_status becomes declined -&gt; system auto-creates a 30-day follow-up task -&gt; shown on a decline tracker</w:t>
            </w:r>
          </w:p>
        </w:tc>
      </w:tr>
      <w:tr>
        <w:tc>
          <w:tcPr>
            <w:tcW w:type="dxa" w:w="2400"/>
            <w:shd w:fill="FFFFFF" w:color="auto" w:val="clear"/>
            <w:tcMar>
              <w:top w:type="dxa" w:w="80"/>
              <w:left w:type="dxa" w:w="100"/>
              <w:bottom w:type="dxa" w:w="80"/>
              <w:right w:type="dxa" w:w="100"/>
            </w:tcMar>
            <w:vAlign w:val="center"/>
          </w:tcPr>
          <w:p>
            <w:r>
              <w:rPr>
                <w:b w:val="false"/>
                <w:bCs w:val="false"/>
                <w:sz w:val="19"/>
                <w:szCs w:val="19"/>
              </w:rPr>
              <w:t xml:space="preserve">Referral / Warm Handoff</w:t>
            </w:r>
          </w:p>
        </w:tc>
        <w:tc>
          <w:tcPr>
            <w:tcW w:type="dxa" w:w="6800"/>
            <w:shd w:fill="FFFFFF" w:color="auto" w:val="clear"/>
            <w:tcMar>
              <w:top w:type="dxa" w:w="80"/>
              <w:left w:type="dxa" w:w="100"/>
              <w:bottom w:type="dxa" w:w="80"/>
              <w:right w:type="dxa" w:w="100"/>
            </w:tcMar>
            <w:vAlign w:val="center"/>
          </w:tcPr>
          <w:p>
            <w:r>
              <w:rPr>
                <w:b w:val="false"/>
                <w:bCs w:val="false"/>
                <w:sz w:val="19"/>
                <w:szCs w:val="19"/>
              </w:rPr>
              <w:t xml:space="preserve">PCP initiates from chart -&gt; system checks if assigned BHCM is online and under caseload capacity -&gt; Yes: direct call/warm handoff created, BHCM gets push, BHCM joins, patient invited into the same secure video session -&gt; No: falls back to a scheduling task</w:t>
            </w:r>
          </w:p>
        </w:tc>
      </w:tr>
      <w:tr>
        <w:tc>
          <w:tcPr>
            <w:tcW w:type="dxa" w:w="2400"/>
            <w:shd w:fill="F2F2F2" w:color="auto" w:val="clear"/>
            <w:tcMar>
              <w:top w:type="dxa" w:w="80"/>
              <w:left w:type="dxa" w:w="100"/>
              <w:bottom w:type="dxa" w:w="80"/>
              <w:right w:type="dxa" w:w="100"/>
            </w:tcMar>
            <w:vAlign w:val="center"/>
          </w:tcPr>
          <w:p>
            <w:r>
              <w:rPr>
                <w:b w:val="false"/>
                <w:bCs w:val="false"/>
                <w:sz w:val="19"/>
                <w:szCs w:val="19"/>
              </w:rPr>
              <w:t xml:space="preserve">Care Plan</w:t>
            </w:r>
          </w:p>
        </w:tc>
        <w:tc>
          <w:tcPr>
            <w:tcW w:type="dxa" w:w="6800"/>
            <w:shd w:fill="F2F2F2" w:color="auto" w:val="clear"/>
            <w:tcMar>
              <w:top w:type="dxa" w:w="80"/>
              <w:left w:type="dxa" w:w="100"/>
              <w:bottom w:type="dxa" w:w="80"/>
              <w:right w:type="dxa" w:w="100"/>
            </w:tcMar>
            <w:vAlign w:val="center"/>
          </w:tcPr>
          <w:p>
            <w:r>
              <w:rPr>
                <w:b w:val="false"/>
                <w:bCs w:val="false"/>
                <w:sz w:val="19"/>
                <w:szCs w:val="19"/>
              </w:rPr>
              <w:t xml:space="preserve">BHCM creates care goals (statement + action steps + target date) -&gt; visible to patient + assigned providers per policy</w:t>
            </w:r>
          </w:p>
        </w:tc>
      </w:tr>
      <w:tr>
        <w:tc>
          <w:tcPr>
            <w:tcW w:type="dxa" w:w="2400"/>
            <w:shd w:fill="FFFFFF" w:color="auto" w:val="clear"/>
            <w:tcMar>
              <w:top w:type="dxa" w:w="80"/>
              <w:left w:type="dxa" w:w="100"/>
              <w:bottom w:type="dxa" w:w="80"/>
              <w:right w:type="dxa" w:w="100"/>
            </w:tcMar>
            <w:vAlign w:val="center"/>
          </w:tcPr>
          <w:p>
            <w:r>
              <w:rPr>
                <w:b w:val="false"/>
                <w:bCs w:val="false"/>
                <w:sz w:val="19"/>
                <w:szCs w:val="19"/>
              </w:rPr>
              <w:t xml:space="preserve">Time Tracking</w:t>
            </w:r>
          </w:p>
        </w:tc>
        <w:tc>
          <w:tcPr>
            <w:tcW w:type="dxa" w:w="6800"/>
            <w:shd w:fill="FFFFFF" w:color="auto" w:val="clear"/>
            <w:tcMar>
              <w:top w:type="dxa" w:w="80"/>
              <w:left w:type="dxa" w:w="100"/>
              <w:bottom w:type="dxa" w:w="80"/>
              <w:right w:type="dxa" w:w="100"/>
            </w:tcMar>
            <w:vAlign w:val="center"/>
          </w:tcPr>
          <w:p>
            <w:r>
              <w:rPr>
                <w:b w:val="false"/>
                <w:bCs w:val="false"/>
                <w:sz w:val="19"/>
                <w:szCs w:val="19"/>
              </w:rPr>
              <w:t xml:space="preserve">PCP / BHCM / Psychiatrist log activity type + start/end + notes -&gt; once submitted, logs become immutable (corrections are a separate controlled process)</w:t>
            </w:r>
          </w:p>
        </w:tc>
      </w:tr>
    </w:tbl>
    <w:p>
      <w:pPr>
        <w:pStyle w:val="Heading1"/>
        <w:spacing w:after="200" w:before="400"/>
      </w:pPr>
      <w:r>
        <w:t xml:space="preserve">7. Billing &amp; Reporting</w:t>
      </w:r>
    </w:p>
    <w:p>
      <w:pPr>
        <w:spacing w:after="150"/>
      </w:pPr>
      <w:r>
        <w:rPr>
          <w:b w:val="false"/>
          <w:bCs w:val="false"/>
          <w:i w:val="false"/>
          <w:iCs w:val="false"/>
        </w:rPr>
        <w:t xml:space="preserve">Billing computation inputs: submitted time logs (not draft ones), active billing rule-sets, tenant's operational timezone, patient's payer type, billing period (year/month), resolved CPT/code units.</w:t>
      </w:r>
    </w:p>
    <w:p>
      <w:pPr>
        <w:spacing w:after="150"/>
      </w:pPr>
      <w:r>
        <w:rPr>
          <w:b/>
          <w:bCs/>
          <w:i w:val="false"/>
          <w:iCs w:val="false"/>
        </w:rPr>
        <w:t xml:space="preserve">Claim readiness = zero documentation gaps. The 5 gaps the system actually checks:</w:t>
      </w:r>
    </w:p>
    <w:p>
      <w:pPr>
        <w:pStyle w:val="ListParagraph"/>
        <w:numPr>
          <w:ilvl w:val="0"/>
          <w:numId w:val="1"/>
        </w:numPr>
        <w:spacing w:after="80"/>
      </w:pPr>
      <w:r>
        <w:t xml:space="preserve">CoCM not active</w:t>
      </w:r>
    </w:p>
    <w:p>
      <w:pPr>
        <w:pStyle w:val="ListParagraph"/>
        <w:numPr>
          <w:ilvl w:val="0"/>
          <w:numId w:val="1"/>
        </w:numPr>
        <w:spacing w:after="80"/>
      </w:pPr>
      <w:r>
        <w:t xml:space="preserve">Missing consent</w:t>
      </w:r>
    </w:p>
    <w:p>
      <w:pPr>
        <w:pStyle w:val="ListParagraph"/>
        <w:numPr>
          <w:ilvl w:val="0"/>
          <w:numId w:val="1"/>
        </w:numPr>
        <w:spacing w:after="80"/>
      </w:pPr>
      <w:r>
        <w:t xml:space="preserve">Missing scored assessment</w:t>
      </w:r>
    </w:p>
    <w:p>
      <w:pPr>
        <w:pStyle w:val="ListParagraph"/>
        <w:numPr>
          <w:ilvl w:val="0"/>
          <w:numId w:val="1"/>
        </w:numPr>
        <w:spacing w:after="80"/>
      </w:pPr>
      <w:r>
        <w:t xml:space="preserve">No submitted time logs</w:t>
      </w:r>
    </w:p>
    <w:p>
      <w:pPr>
        <w:pStyle w:val="ListParagraph"/>
        <w:numPr>
          <w:ilvl w:val="0"/>
          <w:numId w:val="1"/>
        </w:numPr>
        <w:spacing w:after="80"/>
      </w:pPr>
      <w:r>
        <w:t xml:space="preserve">No resolved billing code</w:t>
      </w:r>
    </w:p>
    <w:p>
      <w:pPr>
        <w:spacing w:after="150"/>
      </w:pPr>
      <w:r>
        <w:rPr>
          <w:b w:val="false"/>
          <w:bCs w:val="false"/>
          <w:i w:val="false"/>
          <w:iCs w:val="false"/>
        </w:rPr>
        <w:t xml:space="preserve">Export streams a CSV and audit-logs the export event itself before the download completes.</w:t>
      </w:r>
    </w:p>
    <w:tbl>
      <w:tblPr>
        <w:tblW w:type="dxa" w:w="9200"/>
        <w:tblBorders>
          <w:top w:val="single" w:color="auto" w:sz="4"/>
          <w:left w:val="single" w:color="auto" w:sz="4"/>
          <w:bottom w:val="single" w:color="auto" w:sz="4"/>
          <w:right w:val="single" w:color="auto" w:sz="4"/>
          <w:insideH w:val="single" w:color="auto" w:sz="4"/>
          <w:insideV w:val="single" w:color="auto" w:sz="4"/>
        </w:tblBorders>
      </w:tblPr>
      <w:tblGrid>
        <w:gridCol w:w="3600"/>
        <w:gridCol w:w="5600"/>
      </w:tblGrid>
      <w:tr>
        <w:trPr>
          <w:tblHeader/>
        </w:trPr>
        <w:tc>
          <w:tcPr>
            <w:tcW w:type="dxa" w:w="3600"/>
            <w:shd w:fill="1F3864" w:color="auto" w:val="clear"/>
            <w:tcMar>
              <w:top w:type="dxa" w:w="80"/>
              <w:left w:type="dxa" w:w="100"/>
              <w:bottom w:type="dxa" w:w="80"/>
              <w:right w:type="dxa" w:w="100"/>
            </w:tcMar>
            <w:vAlign w:val="center"/>
          </w:tcPr>
          <w:p>
            <w:r>
              <w:rPr>
                <w:b/>
                <w:bCs/>
                <w:color w:val="FFFFFF"/>
                <w:sz w:val="19"/>
                <w:szCs w:val="19"/>
              </w:rPr>
              <w:t xml:space="preserve">Access Level</w:t>
            </w:r>
          </w:p>
        </w:tc>
        <w:tc>
          <w:tcPr>
            <w:tcW w:type="dxa" w:w="5600"/>
            <w:shd w:fill="1F3864" w:color="auto" w:val="clear"/>
            <w:tcMar>
              <w:top w:type="dxa" w:w="80"/>
              <w:left w:type="dxa" w:w="100"/>
              <w:bottom w:type="dxa" w:w="80"/>
              <w:right w:type="dxa" w:w="100"/>
            </w:tcMar>
            <w:vAlign w:val="center"/>
          </w:tcPr>
          <w:p>
            <w:r>
              <w:rPr>
                <w:b/>
                <w:bCs/>
                <w:color w:val="FFFFFF"/>
                <w:sz w:val="19"/>
                <w:szCs w:val="19"/>
              </w:rPr>
              <w:t xml:space="preserve">Who</w:t>
            </w:r>
          </w:p>
        </w:tc>
      </w:tr>
      <w:tr>
        <w:tc>
          <w:tcPr>
            <w:tcW w:type="dxa" w:w="3600"/>
            <w:shd w:fill="FFFFFF" w:color="auto" w:val="clear"/>
            <w:tcMar>
              <w:top w:type="dxa" w:w="80"/>
              <w:left w:type="dxa" w:w="100"/>
              <w:bottom w:type="dxa" w:w="80"/>
              <w:right w:type="dxa" w:w="100"/>
            </w:tcMar>
            <w:vAlign w:val="center"/>
          </w:tcPr>
          <w:p>
            <w:r>
              <w:rPr>
                <w:b w:val="false"/>
                <w:bCs w:val="false"/>
                <w:sz w:val="19"/>
                <w:szCs w:val="19"/>
              </w:rPr>
              <w:t xml:space="preserve">Can VIEW billing dashboard</w:t>
            </w:r>
          </w:p>
        </w:tc>
        <w:tc>
          <w:tcPr>
            <w:tcW w:type="dxa" w:w="5600"/>
            <w:shd w:fill="FFFFFF" w:color="auto" w:val="clear"/>
            <w:tcMar>
              <w:top w:type="dxa" w:w="80"/>
              <w:left w:type="dxa" w:w="100"/>
              <w:bottom w:type="dxa" w:w="80"/>
              <w:right w:type="dxa" w:w="100"/>
            </w:tcMar>
            <w:vAlign w:val="center"/>
          </w:tcPr>
          <w:p>
            <w:r>
              <w:rPr>
                <w:b w:val="false"/>
                <w:bCs w:val="false"/>
                <w:sz w:val="19"/>
                <w:szCs w:val="19"/>
              </w:rPr>
              <w:t xml:space="preserve">SuperAdmin, Clinic Admin, PCP, BHCM</w:t>
            </w:r>
          </w:p>
        </w:tc>
      </w:tr>
      <w:tr>
        <w:tc>
          <w:tcPr>
            <w:tcW w:type="dxa" w:w="3600"/>
            <w:shd w:fill="F2F2F2" w:color="auto" w:val="clear"/>
            <w:tcMar>
              <w:top w:type="dxa" w:w="80"/>
              <w:left w:type="dxa" w:w="100"/>
              <w:bottom w:type="dxa" w:w="80"/>
              <w:right w:type="dxa" w:w="100"/>
            </w:tcMar>
            <w:vAlign w:val="center"/>
          </w:tcPr>
          <w:p>
            <w:r>
              <w:rPr>
                <w:b w:val="false"/>
                <w:bCs w:val="false"/>
                <w:sz w:val="19"/>
                <w:szCs w:val="19"/>
              </w:rPr>
              <w:t xml:space="preserve">Can EXPORT claims</w:t>
            </w:r>
          </w:p>
        </w:tc>
        <w:tc>
          <w:tcPr>
            <w:tcW w:type="dxa" w:w="5600"/>
            <w:shd w:fill="F2F2F2" w:color="auto" w:val="clear"/>
            <w:tcMar>
              <w:top w:type="dxa" w:w="80"/>
              <w:left w:type="dxa" w:w="100"/>
              <w:bottom w:type="dxa" w:w="80"/>
              <w:right w:type="dxa" w:w="100"/>
            </w:tcMar>
            <w:vAlign w:val="center"/>
          </w:tcPr>
          <w:p>
            <w:r>
              <w:rPr>
                <w:b w:val="false"/>
                <w:bCs w:val="false"/>
                <w:sz w:val="19"/>
                <w:szCs w:val="19"/>
              </w:rPr>
              <w:t xml:space="preserve">Only SuperAdmin, Clinic Admin (deliberate control — PCP/BHCM can see but not export)</w:t>
            </w:r>
          </w:p>
        </w:tc>
      </w:tr>
    </w:tbl>
    <w:p>
      <w:pPr>
        <w:spacing w:after="150"/>
      </w:pPr>
      <w:r>
        <w:rPr>
          <w:b/>
          <w:bCs/>
          <w:i w:val="false"/>
          <w:iCs w:val="false"/>
          <w:color w:val="C0392B"/>
        </w:rPr>
        <w:t xml:space="preserve">RISK flagged by source document: billing/risk rule-sets are data-driven (configurable) but have NOT yet been reviewed/approved. Do not submit real claims off this until a billing specialist signs off on the CPT-code mapping logic.</w:t>
      </w:r>
    </w:p>
    <w:p>
      <w:pPr>
        <w:sectPr>
          <w:headerReference w:type="default" r:id="rId9"/>
          <w:footerReference w:type="default" r:id="rId10"/>
          <w:pgSz w:w="12240" w:h="15840" w:orient="portrait"/>
          <w:pgMar w:top="1080" w:right="1080" w:bottom="1080" w:left="1080" w:header="708" w:footer="708" w:gutter="0"/>
          <w:pgNumType/>
          <w:docGrid w:linePitch="360"/>
        </w:sectPr>
      </w:pPr>
    </w:p>
    <w:p>
      <w:pPr>
        <w:pStyle w:val="Heading1"/>
        <w:spacing w:after="200" w:before="400"/>
      </w:pPr>
      <w:r>
        <w:t xml:space="preserve">8. Gaps &amp; Action Checklist</w:t>
      </w:r>
    </w:p>
    <w:p>
      <w:pPr>
        <w:pStyle w:val="Heading2"/>
        <w:spacing w:after="150" w:before="300"/>
      </w:pPr>
      <w:r>
        <w:t xml:space="preserve">Must Fix Before Real Patients / Real Billing</w:t>
      </w:r>
    </w:p>
    <w:tbl>
      <w:tblPr>
        <w:tblW w:type="dxa" w:w="9200"/>
        <w:tblBorders>
          <w:top w:val="single" w:color="auto" w:sz="4"/>
          <w:left w:val="single" w:color="auto" w:sz="4"/>
          <w:bottom w:val="single" w:color="auto" w:sz="4"/>
          <w:right w:val="single" w:color="auto" w:sz="4"/>
          <w:insideH w:val="single" w:color="auto" w:sz="4"/>
          <w:insideV w:val="single" w:color="auto" w:sz="4"/>
        </w:tblBorders>
      </w:tblPr>
      <w:tblGrid>
        <w:gridCol w:w="500"/>
        <w:gridCol w:w="3600"/>
        <w:gridCol w:w="5100"/>
      </w:tblGrid>
      <w:tr>
        <w:trPr>
          <w:tblHeader/>
        </w:trPr>
        <w:tc>
          <w:tcPr>
            <w:tcW w:type="dxa" w:w="500"/>
            <w:shd w:fill="1F3864" w:color="auto" w:val="clear"/>
            <w:tcMar>
              <w:top w:type="dxa" w:w="80"/>
              <w:left w:type="dxa" w:w="100"/>
              <w:bottom w:type="dxa" w:w="80"/>
              <w:right w:type="dxa" w:w="100"/>
            </w:tcMar>
            <w:vAlign w:val="center"/>
          </w:tcPr>
          <w:p>
            <w:r>
              <w:rPr>
                <w:b/>
                <w:bCs/>
                <w:color w:val="FFFFFF"/>
                <w:sz w:val="19"/>
                <w:szCs w:val="19"/>
              </w:rPr>
              <w:t xml:space="preserve">#</w:t>
            </w:r>
          </w:p>
        </w:tc>
        <w:tc>
          <w:tcPr>
            <w:tcW w:type="dxa" w:w="3600"/>
            <w:shd w:fill="1F3864" w:color="auto" w:val="clear"/>
            <w:tcMar>
              <w:top w:type="dxa" w:w="80"/>
              <w:left w:type="dxa" w:w="100"/>
              <w:bottom w:type="dxa" w:w="80"/>
              <w:right w:type="dxa" w:w="100"/>
            </w:tcMar>
            <w:vAlign w:val="center"/>
          </w:tcPr>
          <w:p>
            <w:r>
              <w:rPr>
                <w:b/>
                <w:bCs/>
                <w:color w:val="FFFFFF"/>
                <w:sz w:val="19"/>
                <w:szCs w:val="19"/>
              </w:rPr>
              <w:t xml:space="preserve">Gap</w:t>
            </w:r>
          </w:p>
        </w:tc>
        <w:tc>
          <w:tcPr>
            <w:tcW w:type="dxa" w:w="5100"/>
            <w:shd w:fill="1F3864" w:color="auto" w:val="clear"/>
            <w:tcMar>
              <w:top w:type="dxa" w:w="80"/>
              <w:left w:type="dxa" w:w="100"/>
              <w:bottom w:type="dxa" w:w="80"/>
              <w:right w:type="dxa" w:w="100"/>
            </w:tcMar>
            <w:vAlign w:val="center"/>
          </w:tcPr>
          <w:p>
            <w:r>
              <w:rPr>
                <w:b/>
                <w:bCs/>
                <w:color w:val="FFFFFF"/>
                <w:sz w:val="19"/>
                <w:szCs w:val="19"/>
              </w:rPr>
              <w:t xml:space="preserve">Required Action</w:t>
            </w:r>
          </w:p>
        </w:tc>
      </w:tr>
      <w:tr>
        <w:tc>
          <w:tcPr>
            <w:tcW w:type="dxa" w:w="500"/>
            <w:shd w:fill="FFFFFF" w:color="auto" w:val="clear"/>
            <w:tcMar>
              <w:top w:type="dxa" w:w="80"/>
              <w:left w:type="dxa" w:w="100"/>
              <w:bottom w:type="dxa" w:w="80"/>
              <w:right w:type="dxa" w:w="100"/>
            </w:tcMar>
            <w:vAlign w:val="center"/>
          </w:tcPr>
          <w:p>
            <w:r>
              <w:rPr>
                <w:b w:val="false"/>
                <w:bCs w:val="false"/>
                <w:sz w:val="19"/>
                <w:szCs w:val="19"/>
              </w:rPr>
              <w:t xml:space="preserve">1</w:t>
            </w:r>
          </w:p>
        </w:tc>
        <w:tc>
          <w:tcPr>
            <w:tcW w:type="dxa" w:w="3600"/>
            <w:shd w:fill="FFFFFF" w:color="auto" w:val="clear"/>
            <w:tcMar>
              <w:top w:type="dxa" w:w="80"/>
              <w:left w:type="dxa" w:w="100"/>
              <w:bottom w:type="dxa" w:w="80"/>
              <w:right w:type="dxa" w:w="100"/>
            </w:tcMar>
            <w:vAlign w:val="center"/>
          </w:tcPr>
          <w:p>
            <w:r>
              <w:rPr>
                <w:b w:val="false"/>
                <w:bCs w:val="false"/>
                <w:sz w:val="19"/>
                <w:szCs w:val="19"/>
              </w:rPr>
              <w:t xml:space="preserve">Patient self-activation email flow missing</w:t>
            </w:r>
          </w:p>
        </w:tc>
        <w:tc>
          <w:tcPr>
            <w:tcW w:type="dxa" w:w="5100"/>
            <w:shd w:fill="FFFFFF" w:color="auto" w:val="clear"/>
            <w:tcMar>
              <w:top w:type="dxa" w:w="80"/>
              <w:left w:type="dxa" w:w="100"/>
              <w:bottom w:type="dxa" w:w="80"/>
              <w:right w:type="dxa" w:w="100"/>
            </w:tcMar>
            <w:vAlign w:val="center"/>
          </w:tcPr>
          <w:p>
            <w:r>
              <w:rPr>
                <w:b w:val="false"/>
                <w:bCs w:val="false"/>
                <w:sz w:val="19"/>
                <w:szCs w:val="19"/>
              </w:rPr>
              <w:t xml:space="preserve">Add a proper invite/password-setup email when a patient is created, or explicitly commit to kiosk-only interaction and remove the illusion of a patient app.</w:t>
            </w:r>
          </w:p>
        </w:tc>
      </w:tr>
      <w:tr>
        <w:tc>
          <w:tcPr>
            <w:tcW w:type="dxa" w:w="500"/>
            <w:shd w:fill="F2F2F2" w:color="auto" w:val="clear"/>
            <w:tcMar>
              <w:top w:type="dxa" w:w="80"/>
              <w:left w:type="dxa" w:w="100"/>
              <w:bottom w:type="dxa" w:w="80"/>
              <w:right w:type="dxa" w:w="100"/>
            </w:tcMar>
            <w:vAlign w:val="center"/>
          </w:tcPr>
          <w:p>
            <w:r>
              <w:rPr>
                <w:b w:val="false"/>
                <w:bCs w:val="false"/>
                <w:sz w:val="19"/>
                <w:szCs w:val="19"/>
              </w:rPr>
              <w:t xml:space="preserve">2</w:t>
            </w:r>
          </w:p>
        </w:tc>
        <w:tc>
          <w:tcPr>
            <w:tcW w:type="dxa" w:w="3600"/>
            <w:shd w:fill="F2F2F2" w:color="auto" w:val="clear"/>
            <w:tcMar>
              <w:top w:type="dxa" w:w="80"/>
              <w:left w:type="dxa" w:w="100"/>
              <w:bottom w:type="dxa" w:w="80"/>
              <w:right w:type="dxa" w:w="100"/>
            </w:tcMar>
            <w:vAlign w:val="center"/>
          </w:tcPr>
          <w:p>
            <w:r>
              <w:rPr>
                <w:b w:val="false"/>
                <w:bCs w:val="false"/>
                <w:sz w:val="19"/>
                <w:szCs w:val="19"/>
              </w:rPr>
              <w:t xml:space="preserve">Safety-positive evaluator too simplistic</w:t>
            </w:r>
          </w:p>
        </w:tc>
        <w:tc>
          <w:tcPr>
            <w:tcW w:type="dxa" w:w="5100"/>
            <w:shd w:fill="F2F2F2" w:color="auto" w:val="clear"/>
            <w:tcMar>
              <w:top w:type="dxa" w:w="80"/>
              <w:left w:type="dxa" w:w="100"/>
              <w:bottom w:type="dxa" w:w="80"/>
              <w:right w:type="dxa" w:w="100"/>
            </w:tcMar>
            <w:vAlign w:val="center"/>
          </w:tcPr>
          <w:p>
            <w:r>
              <w:rPr>
                <w:b w:val="false"/>
                <w:bCs w:val="false"/>
                <w:sz w:val="19"/>
                <w:szCs w:val="19"/>
              </w:rPr>
              <w:t xml:space="preserve">Get a licensed clinician to approve the exact positive/negative logic per question, not just true/1/yes.</w:t>
            </w:r>
          </w:p>
        </w:tc>
      </w:tr>
      <w:tr>
        <w:tc>
          <w:tcPr>
            <w:tcW w:type="dxa" w:w="500"/>
            <w:shd w:fill="FFFFFF" w:color="auto" w:val="clear"/>
            <w:tcMar>
              <w:top w:type="dxa" w:w="80"/>
              <w:left w:type="dxa" w:w="100"/>
              <w:bottom w:type="dxa" w:w="80"/>
              <w:right w:type="dxa" w:w="100"/>
            </w:tcMar>
            <w:vAlign w:val="center"/>
          </w:tcPr>
          <w:p>
            <w:r>
              <w:rPr>
                <w:b w:val="false"/>
                <w:bCs w:val="false"/>
                <w:sz w:val="19"/>
                <w:szCs w:val="19"/>
              </w:rPr>
              <w:t xml:space="preserve">3</w:t>
            </w:r>
          </w:p>
        </w:tc>
        <w:tc>
          <w:tcPr>
            <w:tcW w:type="dxa" w:w="3600"/>
            <w:shd w:fill="FFFFFF" w:color="auto" w:val="clear"/>
            <w:tcMar>
              <w:top w:type="dxa" w:w="80"/>
              <w:left w:type="dxa" w:w="100"/>
              <w:bottom w:type="dxa" w:w="80"/>
              <w:right w:type="dxa" w:w="100"/>
            </w:tcMar>
            <w:vAlign w:val="center"/>
          </w:tcPr>
          <w:p>
            <w:r>
              <w:rPr>
                <w:b w:val="false"/>
                <w:bCs w:val="false"/>
                <w:sz w:val="19"/>
                <w:szCs w:val="19"/>
              </w:rPr>
              <w:t xml:space="preserve">Billing rule-set + CPT mapping unreviewed</w:t>
            </w:r>
          </w:p>
        </w:tc>
        <w:tc>
          <w:tcPr>
            <w:tcW w:type="dxa" w:w="5100"/>
            <w:shd w:fill="FFFFFF" w:color="auto" w:val="clear"/>
            <w:tcMar>
              <w:top w:type="dxa" w:w="80"/>
              <w:left w:type="dxa" w:w="100"/>
              <w:bottom w:type="dxa" w:w="80"/>
              <w:right w:type="dxa" w:w="100"/>
            </w:tcMar>
            <w:vAlign w:val="center"/>
          </w:tcPr>
          <w:p>
            <w:r>
              <w:rPr>
                <w:b w:val="false"/>
                <w:bCs w:val="false"/>
                <w:sz w:val="19"/>
                <w:szCs w:val="19"/>
              </w:rPr>
              <w:t xml:space="preserve">A billing/coding specialist must approve before any real claim submission.</w:t>
            </w:r>
          </w:p>
        </w:tc>
      </w:tr>
      <w:tr>
        <w:tc>
          <w:tcPr>
            <w:tcW w:type="dxa" w:w="500"/>
            <w:shd w:fill="F2F2F2" w:color="auto" w:val="clear"/>
            <w:tcMar>
              <w:top w:type="dxa" w:w="80"/>
              <w:left w:type="dxa" w:w="100"/>
              <w:bottom w:type="dxa" w:w="80"/>
              <w:right w:type="dxa" w:w="100"/>
            </w:tcMar>
            <w:vAlign w:val="center"/>
          </w:tcPr>
          <w:p>
            <w:r>
              <w:rPr>
                <w:b w:val="false"/>
                <w:bCs w:val="false"/>
                <w:sz w:val="19"/>
                <w:szCs w:val="19"/>
              </w:rPr>
              <w:t xml:space="preserve">4</w:t>
            </w:r>
          </w:p>
        </w:tc>
        <w:tc>
          <w:tcPr>
            <w:tcW w:type="dxa" w:w="3600"/>
            <w:shd w:fill="F2F2F2" w:color="auto" w:val="clear"/>
            <w:tcMar>
              <w:top w:type="dxa" w:w="80"/>
              <w:left w:type="dxa" w:w="100"/>
              <w:bottom w:type="dxa" w:w="80"/>
              <w:right w:type="dxa" w:w="100"/>
            </w:tcMar>
            <w:vAlign w:val="center"/>
          </w:tcPr>
          <w:p>
            <w:r>
              <w:rPr>
                <w:b w:val="false"/>
                <w:bCs w:val="false"/>
                <w:sz w:val="19"/>
                <w:szCs w:val="19"/>
              </w:rPr>
              <w:t xml:space="preserve">Kiosk device MDM enforcement is only a runbook</w:t>
            </w:r>
          </w:p>
        </w:tc>
        <w:tc>
          <w:tcPr>
            <w:tcW w:type="dxa" w:w="5100"/>
            <w:shd w:fill="F2F2F2" w:color="auto" w:val="clear"/>
            <w:tcMar>
              <w:top w:type="dxa" w:w="80"/>
              <w:left w:type="dxa" w:w="100"/>
              <w:bottom w:type="dxa" w:w="80"/>
              <w:right w:type="dxa" w:w="100"/>
            </w:tcMar>
            <w:vAlign w:val="center"/>
          </w:tcPr>
          <w:p>
            <w:r>
              <w:rPr>
                <w:b w:val="false"/>
                <w:bCs w:val="false"/>
                <w:sz w:val="19"/>
                <w:szCs w:val="19"/>
              </w:rPr>
              <w:t xml:space="preserve">Integrate a real MDM (Apple Business Manager / Android Enterprise) or clearly document it as a clinic IT responsibility with a checklist.</w:t>
            </w:r>
          </w:p>
        </w:tc>
      </w:tr>
      <w:tr>
        <w:tc>
          <w:tcPr>
            <w:tcW w:type="dxa" w:w="500"/>
            <w:shd w:fill="FFFFFF" w:color="auto" w:val="clear"/>
            <w:tcMar>
              <w:top w:type="dxa" w:w="80"/>
              <w:left w:type="dxa" w:w="100"/>
              <w:bottom w:type="dxa" w:w="80"/>
              <w:right w:type="dxa" w:w="100"/>
            </w:tcMar>
            <w:vAlign w:val="center"/>
          </w:tcPr>
          <w:p>
            <w:r>
              <w:rPr>
                <w:b w:val="false"/>
                <w:bCs w:val="false"/>
                <w:sz w:val="19"/>
                <w:szCs w:val="19"/>
              </w:rPr>
              <w:t xml:space="preserve">5</w:t>
            </w:r>
          </w:p>
        </w:tc>
        <w:tc>
          <w:tcPr>
            <w:tcW w:type="dxa" w:w="3600"/>
            <w:shd w:fill="FFFFFF" w:color="auto" w:val="clear"/>
            <w:tcMar>
              <w:top w:type="dxa" w:w="80"/>
              <w:left w:type="dxa" w:w="100"/>
              <w:bottom w:type="dxa" w:w="80"/>
              <w:right w:type="dxa" w:w="100"/>
            </w:tcMar>
            <w:vAlign w:val="center"/>
          </w:tcPr>
          <w:p>
            <w:r>
              <w:rPr>
                <w:b w:val="false"/>
                <w:bCs w:val="false"/>
                <w:sz w:val="19"/>
                <w:szCs w:val="19"/>
              </w:rPr>
              <w:t xml:space="preserve">Firebase/push notification production credentials not wired</w:t>
            </w:r>
          </w:p>
        </w:tc>
        <w:tc>
          <w:tcPr>
            <w:tcW w:type="dxa" w:w="5100"/>
            <w:shd w:fill="FFFFFF" w:color="auto" w:val="clear"/>
            <w:tcMar>
              <w:top w:type="dxa" w:w="80"/>
              <w:left w:type="dxa" w:w="100"/>
              <w:bottom w:type="dxa" w:w="80"/>
              <w:right w:type="dxa" w:w="100"/>
            </w:tcMar>
            <w:vAlign w:val="center"/>
          </w:tcPr>
          <w:p>
            <w:r>
              <w:rPr>
                <w:b w:val="false"/>
                <w:bCs w:val="false"/>
                <w:sz w:val="19"/>
                <w:szCs w:val="19"/>
              </w:rPr>
              <w:t xml:space="preserve">Set up a real production Firebase project before go-live; emergency alerts may not reliably reach staff otherwise.</w:t>
            </w:r>
          </w:p>
        </w:tc>
      </w:tr>
    </w:tbl>
    <w:p>
      <w:pPr>
        <w:pStyle w:val="Heading2"/>
        <w:spacing w:after="150" w:before="300"/>
      </w:pPr>
      <w:r>
        <w:t xml:space="preserve">Should Add (Planned but Not Yet Built)</w:t>
      </w:r>
    </w:p>
    <w:tbl>
      <w:tblPr>
        <w:tblW w:type="dxa" w:w="9200"/>
        <w:tblBorders>
          <w:top w:val="single" w:color="auto" w:sz="4"/>
          <w:left w:val="single" w:color="auto" w:sz="4"/>
          <w:bottom w:val="single" w:color="auto" w:sz="4"/>
          <w:right w:val="single" w:color="auto" w:sz="4"/>
          <w:insideH w:val="single" w:color="auto" w:sz="4"/>
          <w:insideV w:val="single" w:color="auto" w:sz="4"/>
        </w:tblBorders>
      </w:tblPr>
      <w:tblGrid>
        <w:gridCol w:w="500"/>
        <w:gridCol w:w="4600"/>
        <w:gridCol w:w="4100"/>
      </w:tblGrid>
      <w:tr>
        <w:trPr>
          <w:tblHeader/>
        </w:trPr>
        <w:tc>
          <w:tcPr>
            <w:tcW w:type="dxa" w:w="500"/>
            <w:shd w:fill="1F3864" w:color="auto" w:val="clear"/>
            <w:tcMar>
              <w:top w:type="dxa" w:w="80"/>
              <w:left w:type="dxa" w:w="100"/>
              <w:bottom w:type="dxa" w:w="80"/>
              <w:right w:type="dxa" w:w="100"/>
            </w:tcMar>
            <w:vAlign w:val="center"/>
          </w:tcPr>
          <w:p>
            <w:r>
              <w:rPr>
                <w:b/>
                <w:bCs/>
                <w:color w:val="FFFFFF"/>
                <w:sz w:val="19"/>
                <w:szCs w:val="19"/>
              </w:rPr>
              <w:t xml:space="preserve">#</w:t>
            </w:r>
          </w:p>
        </w:tc>
        <w:tc>
          <w:tcPr>
            <w:tcW w:type="dxa" w:w="4600"/>
            <w:shd w:fill="1F3864" w:color="auto" w:val="clear"/>
            <w:tcMar>
              <w:top w:type="dxa" w:w="80"/>
              <w:left w:type="dxa" w:w="100"/>
              <w:bottom w:type="dxa" w:w="80"/>
              <w:right w:type="dxa" w:w="100"/>
            </w:tcMar>
            <w:vAlign w:val="center"/>
          </w:tcPr>
          <w:p>
            <w:r>
              <w:rPr>
                <w:b/>
                <w:bCs/>
                <w:color w:val="FFFFFF"/>
                <w:sz w:val="19"/>
                <w:szCs w:val="19"/>
              </w:rPr>
              <w:t xml:space="preserve">Item</w:t>
            </w:r>
          </w:p>
        </w:tc>
        <w:tc>
          <w:tcPr>
            <w:tcW w:type="dxa" w:w="4100"/>
            <w:shd w:fill="1F3864" w:color="auto" w:val="clear"/>
            <w:tcMar>
              <w:top w:type="dxa" w:w="80"/>
              <w:left w:type="dxa" w:w="100"/>
              <w:bottom w:type="dxa" w:w="80"/>
              <w:right w:type="dxa" w:w="100"/>
            </w:tcMar>
            <w:vAlign w:val="center"/>
          </w:tcPr>
          <w:p>
            <w:r>
              <w:rPr>
                <w:b/>
                <w:bCs/>
                <w:color w:val="FFFFFF"/>
                <w:sz w:val="19"/>
                <w:szCs w:val="19"/>
              </w:rPr>
              <w:t xml:space="preserve">Notes</w:t>
            </w:r>
          </w:p>
        </w:tc>
      </w:tr>
      <w:tr>
        <w:tc>
          <w:tcPr>
            <w:tcW w:type="dxa" w:w="500"/>
            <w:shd w:fill="FFFFFF" w:color="auto" w:val="clear"/>
            <w:tcMar>
              <w:top w:type="dxa" w:w="80"/>
              <w:left w:type="dxa" w:w="100"/>
              <w:bottom w:type="dxa" w:w="80"/>
              <w:right w:type="dxa" w:w="100"/>
            </w:tcMar>
            <w:vAlign w:val="center"/>
          </w:tcPr>
          <w:p>
            <w:r>
              <w:rPr>
                <w:b w:val="false"/>
                <w:bCs w:val="false"/>
                <w:sz w:val="19"/>
                <w:szCs w:val="19"/>
              </w:rPr>
              <w:t xml:space="preserve">6</w:t>
            </w:r>
          </w:p>
        </w:tc>
        <w:tc>
          <w:tcPr>
            <w:tcW w:type="dxa" w:w="4600"/>
            <w:shd w:fill="FFFFFF" w:color="auto" w:val="clear"/>
            <w:tcMar>
              <w:top w:type="dxa" w:w="80"/>
              <w:left w:type="dxa" w:w="100"/>
              <w:bottom w:type="dxa" w:w="80"/>
              <w:right w:type="dxa" w:w="100"/>
            </w:tcMar>
            <w:vAlign w:val="center"/>
          </w:tcPr>
          <w:p>
            <w:r>
              <w:rPr>
                <w:b w:val="false"/>
                <w:bCs w:val="false"/>
                <w:sz w:val="19"/>
                <w:szCs w:val="19"/>
              </w:rPr>
              <w:t xml:space="preserve">AUDIT-C, PROMIS, and custom practice-defined assessment tools</w:t>
            </w:r>
          </w:p>
        </w:tc>
        <w:tc>
          <w:tcPr>
            <w:tcW w:type="dxa" w:w="4100"/>
            <w:shd w:fill="FFFFFF" w:color="auto" w:val="clear"/>
            <w:tcMar>
              <w:top w:type="dxa" w:w="80"/>
              <w:left w:type="dxa" w:w="100"/>
              <w:bottom w:type="dxa" w:w="80"/>
              <w:right w:type="dxa" w:w="100"/>
            </w:tcMar>
            <w:vAlign w:val="center"/>
          </w:tcPr>
          <w:p>
            <w:r>
              <w:rPr>
                <w:b w:val="false"/>
                <w:bCs w:val="false"/>
                <w:sz w:val="19"/>
                <w:szCs w:val="19"/>
              </w:rPr>
              <w:t xml:space="preserve">Only PHQ-2 / PHQ-9 / GAD-7 exist today</w:t>
            </w:r>
          </w:p>
        </w:tc>
      </w:tr>
      <w:tr>
        <w:tc>
          <w:tcPr>
            <w:tcW w:type="dxa" w:w="500"/>
            <w:shd w:fill="F2F2F2" w:color="auto" w:val="clear"/>
            <w:tcMar>
              <w:top w:type="dxa" w:w="80"/>
              <w:left w:type="dxa" w:w="100"/>
              <w:bottom w:type="dxa" w:w="80"/>
              <w:right w:type="dxa" w:w="100"/>
            </w:tcMar>
            <w:vAlign w:val="center"/>
          </w:tcPr>
          <w:p>
            <w:r>
              <w:rPr>
                <w:b w:val="false"/>
                <w:bCs w:val="false"/>
                <w:sz w:val="19"/>
                <w:szCs w:val="19"/>
              </w:rPr>
              <w:t xml:space="preserve">7</w:t>
            </w:r>
          </w:p>
        </w:tc>
        <w:tc>
          <w:tcPr>
            <w:tcW w:type="dxa" w:w="4600"/>
            <w:shd w:fill="F2F2F2" w:color="auto" w:val="clear"/>
            <w:tcMar>
              <w:top w:type="dxa" w:w="80"/>
              <w:left w:type="dxa" w:w="100"/>
              <w:bottom w:type="dxa" w:w="80"/>
              <w:right w:type="dxa" w:w="100"/>
            </w:tcMar>
            <w:vAlign w:val="center"/>
          </w:tcPr>
          <w:p>
            <w:r>
              <w:rPr>
                <w:b w:val="false"/>
                <w:bCs w:val="false"/>
                <w:sz w:val="19"/>
                <w:szCs w:val="19"/>
              </w:rPr>
              <w:t xml:space="preserve">Dedicated "Decline Tracker" dashboard UI</w:t>
            </w:r>
          </w:p>
        </w:tc>
        <w:tc>
          <w:tcPr>
            <w:tcW w:type="dxa" w:w="4100"/>
            <w:shd w:fill="F2F2F2" w:color="auto" w:val="clear"/>
            <w:tcMar>
              <w:top w:type="dxa" w:w="80"/>
              <w:left w:type="dxa" w:w="100"/>
              <w:bottom w:type="dxa" w:w="80"/>
              <w:right w:type="dxa" w:w="100"/>
            </w:tcMar>
            <w:vAlign w:val="center"/>
          </w:tcPr>
          <w:p>
            <w:r>
              <w:rPr>
                <w:b w:val="false"/>
                <w:bCs w:val="false"/>
                <w:sz w:val="19"/>
                <w:szCs w:val="19"/>
              </w:rPr>
              <w:t xml:space="preserve">Confirm there is a visible screen, not just a backend flag</w:t>
            </w:r>
          </w:p>
        </w:tc>
      </w:tr>
      <w:tr>
        <w:tc>
          <w:tcPr>
            <w:tcW w:type="dxa" w:w="500"/>
            <w:shd w:fill="FFFFFF" w:color="auto" w:val="clear"/>
            <w:tcMar>
              <w:top w:type="dxa" w:w="80"/>
              <w:left w:type="dxa" w:w="100"/>
              <w:bottom w:type="dxa" w:w="80"/>
              <w:right w:type="dxa" w:w="100"/>
            </w:tcMar>
            <w:vAlign w:val="center"/>
          </w:tcPr>
          <w:p>
            <w:r>
              <w:rPr>
                <w:b w:val="false"/>
                <w:bCs w:val="false"/>
                <w:sz w:val="19"/>
                <w:szCs w:val="19"/>
              </w:rPr>
              <w:t xml:space="preserve">8</w:t>
            </w:r>
          </w:p>
        </w:tc>
        <w:tc>
          <w:tcPr>
            <w:tcW w:type="dxa" w:w="4600"/>
            <w:shd w:fill="FFFFFF" w:color="auto" w:val="clear"/>
            <w:tcMar>
              <w:top w:type="dxa" w:w="80"/>
              <w:left w:type="dxa" w:w="100"/>
              <w:bottom w:type="dxa" w:w="80"/>
              <w:right w:type="dxa" w:w="100"/>
            </w:tcMar>
            <w:vAlign w:val="center"/>
          </w:tcPr>
          <w:p>
            <w:r>
              <w:rPr>
                <w:b w:val="false"/>
                <w:bCs w:val="false"/>
                <w:sz w:val="19"/>
                <w:szCs w:val="19"/>
              </w:rPr>
              <w:t xml:space="preserve">Multi-language kiosk support</w:t>
            </w:r>
          </w:p>
        </w:tc>
        <w:tc>
          <w:tcPr>
            <w:tcW w:type="dxa" w:w="4100"/>
            <w:shd w:fill="FFFFFF" w:color="auto" w:val="clear"/>
            <w:tcMar>
              <w:top w:type="dxa" w:w="80"/>
              <w:left w:type="dxa" w:w="100"/>
              <w:bottom w:type="dxa" w:w="80"/>
              <w:right w:type="dxa" w:w="100"/>
            </w:tcMar>
            <w:vAlign w:val="center"/>
          </w:tcPr>
          <w:p>
            <w:r>
              <w:rPr>
                <w:b w:val="false"/>
                <w:bCs w:val="false"/>
                <w:sz w:val="19"/>
                <w:szCs w:val="19"/>
              </w:rPr>
              <w:t xml:space="preserve">Was in the original vision docs, not confirmed as built</w:t>
            </w:r>
          </w:p>
        </w:tc>
      </w:tr>
      <w:tr>
        <w:tc>
          <w:tcPr>
            <w:tcW w:type="dxa" w:w="500"/>
            <w:shd w:fill="F2F2F2" w:color="auto" w:val="clear"/>
            <w:tcMar>
              <w:top w:type="dxa" w:w="80"/>
              <w:left w:type="dxa" w:w="100"/>
              <w:bottom w:type="dxa" w:w="80"/>
              <w:right w:type="dxa" w:w="100"/>
            </w:tcMar>
            <w:vAlign w:val="center"/>
          </w:tcPr>
          <w:p>
            <w:r>
              <w:rPr>
                <w:b w:val="false"/>
                <w:bCs w:val="false"/>
                <w:sz w:val="19"/>
                <w:szCs w:val="19"/>
              </w:rPr>
              <w:t xml:space="preserve">9</w:t>
            </w:r>
          </w:p>
        </w:tc>
        <w:tc>
          <w:tcPr>
            <w:tcW w:type="dxa" w:w="4600"/>
            <w:shd w:fill="F2F2F2" w:color="auto" w:val="clear"/>
            <w:tcMar>
              <w:top w:type="dxa" w:w="80"/>
              <w:left w:type="dxa" w:w="100"/>
              <w:bottom w:type="dxa" w:w="80"/>
              <w:right w:type="dxa" w:w="100"/>
            </w:tcMar>
            <w:vAlign w:val="center"/>
          </w:tcPr>
          <w:p>
            <w:r>
              <w:rPr>
                <w:b w:val="false"/>
                <w:bCs w:val="false"/>
                <w:sz w:val="19"/>
                <w:szCs w:val="19"/>
              </w:rPr>
              <w:t xml:space="preserve">Documented BHCM auto-assign / caseload-balancing rule</w:t>
            </w:r>
          </w:p>
        </w:tc>
        <w:tc>
          <w:tcPr>
            <w:tcW w:type="dxa" w:w="4100"/>
            <w:shd w:fill="F2F2F2" w:color="auto" w:val="clear"/>
            <w:tcMar>
              <w:top w:type="dxa" w:w="80"/>
              <w:left w:type="dxa" w:w="100"/>
              <w:bottom w:type="dxa" w:w="80"/>
              <w:right w:type="dxa" w:w="100"/>
            </w:tcMar>
            <w:vAlign w:val="center"/>
          </w:tcPr>
          <w:p>
            <w:r>
              <w:rPr>
                <w:b w:val="false"/>
                <w:bCs w:val="false"/>
                <w:sz w:val="19"/>
                <w:szCs w:val="19"/>
              </w:rPr>
              <w:t xml:space="preserve">System tracks capacity but the exact assignment algorithm is undocumented</w:t>
            </w:r>
          </w:p>
        </w:tc>
      </w:tr>
    </w:tbl>
    <w:p>
      <w:pPr>
        <w:pStyle w:val="Heading2"/>
        <w:spacing w:after="150" w:before="300"/>
      </w:pPr>
      <w:r>
        <w:t xml:space="preserve">Consider Removing / Simplifying From Old Vision Docs</w:t>
      </w:r>
    </w:p>
    <w:tbl>
      <w:tblPr>
        <w:tblW w:type="dxa" w:w="9700"/>
        <w:tblBorders>
          <w:top w:val="single" w:color="auto" w:sz="4"/>
          <w:left w:val="single" w:color="auto" w:sz="4"/>
          <w:bottom w:val="single" w:color="auto" w:sz="4"/>
          <w:right w:val="single" w:color="auto" w:sz="4"/>
          <w:insideH w:val="single" w:color="auto" w:sz="4"/>
          <w:insideV w:val="single" w:color="auto" w:sz="4"/>
        </w:tblBorders>
      </w:tblPr>
      <w:tblGrid>
        <w:gridCol w:w="500"/>
        <w:gridCol w:w="4200"/>
        <w:gridCol w:w="5000"/>
      </w:tblGrid>
      <w:tr>
        <w:trPr>
          <w:tblHeader/>
        </w:trPr>
        <w:tc>
          <w:tcPr>
            <w:tcW w:type="dxa" w:w="500"/>
            <w:shd w:fill="1F3864" w:color="auto" w:val="clear"/>
            <w:tcMar>
              <w:top w:type="dxa" w:w="80"/>
              <w:left w:type="dxa" w:w="100"/>
              <w:bottom w:type="dxa" w:w="80"/>
              <w:right w:type="dxa" w:w="100"/>
            </w:tcMar>
            <w:vAlign w:val="center"/>
          </w:tcPr>
          <w:p>
            <w:r>
              <w:rPr>
                <w:b/>
                <w:bCs/>
                <w:color w:val="FFFFFF"/>
                <w:sz w:val="19"/>
                <w:szCs w:val="19"/>
              </w:rPr>
              <w:t xml:space="preserve">#</w:t>
            </w:r>
          </w:p>
        </w:tc>
        <w:tc>
          <w:tcPr>
            <w:tcW w:type="dxa" w:w="4200"/>
            <w:shd w:fill="1F3864" w:color="auto" w:val="clear"/>
            <w:tcMar>
              <w:top w:type="dxa" w:w="80"/>
              <w:left w:type="dxa" w:w="100"/>
              <w:bottom w:type="dxa" w:w="80"/>
              <w:right w:type="dxa" w:w="100"/>
            </w:tcMar>
            <w:vAlign w:val="center"/>
          </w:tcPr>
          <w:p>
            <w:r>
              <w:rPr>
                <w:b/>
                <w:bCs/>
                <w:color w:val="FFFFFF"/>
                <w:sz w:val="19"/>
                <w:szCs w:val="19"/>
              </w:rPr>
              <w:t xml:space="preserve">Item</w:t>
            </w:r>
          </w:p>
        </w:tc>
        <w:tc>
          <w:tcPr>
            <w:tcW w:type="dxa" w:w="5000"/>
            <w:shd w:fill="1F3864" w:color="auto" w:val="clear"/>
            <w:tcMar>
              <w:top w:type="dxa" w:w="80"/>
              <w:left w:type="dxa" w:w="100"/>
              <w:bottom w:type="dxa" w:w="80"/>
              <w:right w:type="dxa" w:w="100"/>
            </w:tcMar>
            <w:vAlign w:val="center"/>
          </w:tcPr>
          <w:p>
            <w:r>
              <w:rPr>
                <w:b/>
                <w:bCs/>
                <w:color w:val="FFFFFF"/>
                <w:sz w:val="19"/>
                <w:szCs w:val="19"/>
              </w:rPr>
              <w:t xml:space="preserve">Reason</w:t>
            </w:r>
          </w:p>
        </w:tc>
      </w:tr>
      <w:tr>
        <w:tc>
          <w:tcPr>
            <w:tcW w:type="dxa" w:w="500"/>
            <w:shd w:fill="FFFFFF" w:color="auto" w:val="clear"/>
            <w:tcMar>
              <w:top w:type="dxa" w:w="80"/>
              <w:left w:type="dxa" w:w="100"/>
              <w:bottom w:type="dxa" w:w="80"/>
              <w:right w:type="dxa" w:w="100"/>
            </w:tcMar>
            <w:vAlign w:val="center"/>
          </w:tcPr>
          <w:p>
            <w:r>
              <w:rPr>
                <w:b w:val="false"/>
                <w:bCs w:val="false"/>
                <w:sz w:val="19"/>
                <w:szCs w:val="19"/>
              </w:rPr>
              <w:t xml:space="preserve">10</w:t>
            </w:r>
          </w:p>
        </w:tc>
        <w:tc>
          <w:tcPr>
            <w:tcW w:type="dxa" w:w="4200"/>
            <w:shd w:fill="FFFFFF" w:color="auto" w:val="clear"/>
            <w:tcMar>
              <w:top w:type="dxa" w:w="80"/>
              <w:left w:type="dxa" w:w="100"/>
              <w:bottom w:type="dxa" w:w="80"/>
              <w:right w:type="dxa" w:w="100"/>
            </w:tcMar>
            <w:vAlign w:val="center"/>
          </w:tcPr>
          <w:p>
            <w:r>
              <w:rPr>
                <w:b w:val="false"/>
                <w:bCs w:val="false"/>
                <w:sz w:val="19"/>
                <w:szCs w:val="19"/>
              </w:rPr>
              <w:t xml:space="preserve">"Patient self-QR-registration" concept</w:t>
            </w:r>
          </w:p>
        </w:tc>
        <w:tc>
          <w:tcPr>
            <w:tcW w:type="dxa" w:w="5000"/>
            <w:shd w:fill="FFFFFF" w:color="auto" w:val="clear"/>
            <w:tcMar>
              <w:top w:type="dxa" w:w="80"/>
              <w:left w:type="dxa" w:w="100"/>
              <w:bottom w:type="dxa" w:w="80"/>
              <w:right w:type="dxa" w:w="100"/>
            </w:tcMar>
            <w:vAlign w:val="center"/>
          </w:tcPr>
          <w:p>
            <w:r>
              <w:rPr>
                <w:b w:val="false"/>
                <w:bCs w:val="false"/>
                <w:sz w:val="19"/>
                <w:szCs w:val="19"/>
              </w:rPr>
              <w:t xml:space="preserve">Does not exist in the real system; stop designing around it in future planning</w:t>
            </w:r>
          </w:p>
        </w:tc>
      </w:tr>
      <w:tr>
        <w:tc>
          <w:tcPr>
            <w:tcW w:type="dxa" w:w="500"/>
            <w:shd w:fill="F2F2F2" w:color="auto" w:val="clear"/>
            <w:tcMar>
              <w:top w:type="dxa" w:w="80"/>
              <w:left w:type="dxa" w:w="100"/>
              <w:bottom w:type="dxa" w:w="80"/>
              <w:right w:type="dxa" w:w="100"/>
            </w:tcMar>
            <w:vAlign w:val="center"/>
          </w:tcPr>
          <w:p>
            <w:r>
              <w:rPr>
                <w:b w:val="false"/>
                <w:bCs w:val="false"/>
                <w:sz w:val="19"/>
                <w:szCs w:val="19"/>
              </w:rPr>
              <w:t xml:space="preserve">11</w:t>
            </w:r>
          </w:p>
        </w:tc>
        <w:tc>
          <w:tcPr>
            <w:tcW w:type="dxa" w:w="4200"/>
            <w:shd w:fill="F2F2F2" w:color="auto" w:val="clear"/>
            <w:tcMar>
              <w:top w:type="dxa" w:w="80"/>
              <w:left w:type="dxa" w:w="100"/>
              <w:bottom w:type="dxa" w:w="80"/>
              <w:right w:type="dxa" w:w="100"/>
            </w:tcMar>
            <w:vAlign w:val="center"/>
          </w:tcPr>
          <w:p>
            <w:r>
              <w:rPr>
                <w:b w:val="false"/>
                <w:bCs w:val="false"/>
                <w:sz w:val="19"/>
                <w:szCs w:val="19"/>
              </w:rPr>
              <w:t xml:space="preserve">Old "Check BHM availability -&gt; live 3-way call" screen labels</w:t>
            </w:r>
          </w:p>
        </w:tc>
        <w:tc>
          <w:tcPr>
            <w:tcW w:type="dxa" w:w="5000"/>
            <w:shd w:fill="F2F2F2" w:color="auto" w:val="clear"/>
            <w:tcMar>
              <w:top w:type="dxa" w:w="80"/>
              <w:left w:type="dxa" w:w="100"/>
              <w:bottom w:type="dxa" w:w="80"/>
              <w:right w:type="dxa" w:w="100"/>
            </w:tcMar>
            <w:vAlign w:val="center"/>
          </w:tcPr>
          <w:p>
            <w:r>
              <w:rPr>
                <w:b w:val="false"/>
                <w:bCs w:val="false"/>
                <w:sz w:val="19"/>
                <w:szCs w:val="19"/>
              </w:rPr>
              <w:t xml:space="preserve">Concept is correct and matches the real Referral/Warm-Handoff logic — just rename all UI labels from BHM to BHCM for consistency</w:t>
            </w:r>
          </w:p>
        </w:tc>
      </w:tr>
    </w:tbl>
    <w:p>
      <w:pPr>
        <w:sectPr>
          <w:headerReference w:type="default" r:id="rId11"/>
          <w:footerReference w:type="default" r:id="rId12"/>
          <w:pgSz w:w="12240" w:h="15840" w:orient="portrait"/>
          <w:pgMar w:top="1080" w:right="1080" w:bottom="1080" w:left="1080" w:header="708" w:footer="708" w:gutter="0"/>
          <w:pgNumType/>
          <w:docGrid w:linePitch="360"/>
        </w:sectPr>
      </w:pPr>
    </w:p>
    <w:p>
      <w:pPr>
        <w:pStyle w:val="Heading1"/>
        <w:spacing w:after="200" w:before="400"/>
      </w:pPr>
      <w:r>
        <w:t xml:space="preserve">9. Full Corrected End-to-End Flow (As Actually Implemented)</w:t>
      </w:r>
    </w:p>
    <w:p>
      <w:pPr>
        <w:pStyle w:val="ListParagraph"/>
        <w:numPr>
          <w:ilvl w:val="0"/>
          <w:numId w:val="2"/>
        </w:numPr>
        <w:spacing w:after="80"/>
      </w:pPr>
      <w:r>
        <w:t xml:space="preserve">Practice registers publicly at /providers/register.</w:t>
      </w:r>
    </w:p>
    <w:p>
      <w:pPr>
        <w:pStyle w:val="ListParagraph"/>
        <w:numPr>
          <w:ilvl w:val="0"/>
          <w:numId w:val="2"/>
        </w:numPr>
        <w:spacing w:after="80"/>
      </w:pPr>
      <w:r>
        <w:t xml:space="preserve">SuperAdmin verifies BAA + eSign compliance, then approves the practice (pending_review -&gt; approved).</w:t>
      </w:r>
    </w:p>
    <w:p>
      <w:pPr>
        <w:pStyle w:val="ListParagraph"/>
        <w:numPr>
          <w:ilvl w:val="0"/>
          <w:numId w:val="2"/>
        </w:numPr>
        <w:spacing w:after="80"/>
      </w:pPr>
      <w:r>
        <w:t xml:space="preserve">Clinic Admin invites PCP, BHCM, and Psychiatrist users (7-day expiring invite links).</w:t>
      </w:r>
    </w:p>
    <w:p>
      <w:pPr>
        <w:pStyle w:val="ListParagraph"/>
        <w:numPr>
          <w:ilvl w:val="0"/>
          <w:numId w:val="2"/>
        </w:numPr>
        <w:spacing w:after="80"/>
      </w:pPr>
      <w:r>
        <w:t xml:space="preserve">Staff accept invitations and set their own passwords.</w:t>
      </w:r>
    </w:p>
    <w:p>
      <w:pPr>
        <w:pStyle w:val="ListParagraph"/>
        <w:numPr>
          <w:ilvl w:val="0"/>
          <w:numId w:val="2"/>
        </w:numPr>
        <w:spacing w:after="80"/>
      </w:pPr>
      <w:r>
        <w:t xml:space="preserve">Clinic Admin or a provider registers a patient in /admin/patients (assigns PCP + BHCM at creation).</w:t>
      </w:r>
    </w:p>
    <w:p>
      <w:pPr>
        <w:pStyle w:val="ListParagraph"/>
        <w:numPr>
          <w:ilvl w:val="0"/>
          <w:numId w:val="2"/>
        </w:numPr>
        <w:spacing w:after="80"/>
      </w:pPr>
      <w:r>
        <w:t xml:space="preserve">Patient profile is created with co_cm_status = prospect.</w:t>
      </w:r>
    </w:p>
    <w:p>
      <w:pPr>
        <w:pStyle w:val="ListParagraph"/>
        <w:numPr>
          <w:ilvl w:val="0"/>
          <w:numId w:val="2"/>
        </w:numPr>
        <w:spacing w:after="80"/>
      </w:pPr>
      <w:r>
        <w:t xml:space="preserve">Staff opens the patient's chart.</w:t>
      </w:r>
    </w:p>
    <w:p>
      <w:pPr>
        <w:pStyle w:val="ListParagraph"/>
        <w:numPr>
          <w:ilvl w:val="0"/>
          <w:numId w:val="2"/>
        </w:numPr>
        <w:spacing w:after="80"/>
      </w:pPr>
      <w:r>
        <w:t xml:space="preserve">Staff assigns PHQ-2, PHQ-9, GAD-7, or any other active assessment packet.</w:t>
      </w:r>
    </w:p>
    <w:p>
      <w:pPr>
        <w:pStyle w:val="ListParagraph"/>
        <w:numPr>
          <w:ilvl w:val="0"/>
          <w:numId w:val="2"/>
        </w:numPr>
        <w:spacing w:after="80"/>
      </w:pPr>
      <w:r>
        <w:t xml:space="preserve">Staff launches the kiosk/tablet with the selected questionnaire (30-minute single-use token).</w:t>
      </w:r>
    </w:p>
    <w:p>
      <w:pPr>
        <w:pStyle w:val="ListParagraph"/>
        <w:numPr>
          <w:ilvl w:val="0"/>
          <w:numId w:val="2"/>
        </w:numPr>
        <w:spacing w:after="80"/>
      </w:pPr>
      <w:r>
        <w:t xml:space="preserve">Patient confirms identity on the kiosk (first name + masked DOB).</w:t>
      </w:r>
    </w:p>
    <w:p>
      <w:pPr>
        <w:pStyle w:val="ListParagraph"/>
        <w:numPr>
          <w:ilvl w:val="0"/>
          <w:numId w:val="2"/>
        </w:numPr>
        <w:spacing w:after="80"/>
      </w:pPr>
      <w:r>
        <w:t xml:space="preserve">Patient signs CoCM consent.</w:t>
      </w:r>
    </w:p>
    <w:p>
      <w:pPr>
        <w:pStyle w:val="ListParagraph"/>
        <w:numPr>
          <w:ilvl w:val="0"/>
          <w:numId w:val="2"/>
        </w:numPr>
        <w:spacing w:after="80"/>
      </w:pPr>
      <w:r>
        <w:t xml:space="preserve">Patient completes SDOH steps (each step saves independently).</w:t>
      </w:r>
    </w:p>
    <w:p>
      <w:pPr>
        <w:pStyle w:val="ListParagraph"/>
        <w:numPr>
          <w:ilvl w:val="0"/>
          <w:numId w:val="2"/>
        </w:numPr>
        <w:spacing w:after="80"/>
      </w:pPr>
      <w:r>
        <w:t xml:space="preserve">Patient completes PHQ-2.</w:t>
      </w:r>
    </w:p>
    <w:p>
      <w:pPr>
        <w:pStyle w:val="ListParagraph"/>
        <w:numPr>
          <w:ilvl w:val="0"/>
          <w:numId w:val="2"/>
        </w:numPr>
        <w:spacing w:after="80"/>
      </w:pPr>
      <w:r>
        <w:t xml:space="preserve">If PHQ-2 score is 3 or higher, PHQ-9 follow-up is auto-created and continues in the same session.</w:t>
      </w:r>
    </w:p>
    <w:p>
      <w:pPr>
        <w:pStyle w:val="ListParagraph"/>
        <w:numPr>
          <w:ilvl w:val="0"/>
          <w:numId w:val="2"/>
        </w:numPr>
        <w:spacing w:after="80"/>
      </w:pPr>
      <w:r>
        <w:t xml:space="preserve">Patient completes PHQ-9/GAD-7 as assigned.</w:t>
      </w:r>
    </w:p>
    <w:p>
      <w:pPr>
        <w:pStyle w:val="ListParagraph"/>
        <w:numPr>
          <w:ilvl w:val="0"/>
          <w:numId w:val="2"/>
        </w:numPr>
        <w:spacing w:after="80"/>
      </w:pPr>
      <w:r>
        <w:t xml:space="preserve">If any critical safety item is positive, the survey halts immediately and an emergency alert fires.</w:t>
      </w:r>
    </w:p>
    <w:p>
      <w:pPr>
        <w:pStyle w:val="ListParagraph"/>
        <w:numPr>
          <w:ilvl w:val="0"/>
          <w:numId w:val="2"/>
        </w:numPr>
        <w:spacing w:after="80"/>
      </w:pPr>
      <w:r>
        <w:t xml:space="preserve">PCP/BHCM/Clinic Admin respond and acknowledge the alert.</w:t>
      </w:r>
    </w:p>
    <w:p>
      <w:pPr>
        <w:pStyle w:val="ListParagraph"/>
        <w:numPr>
          <w:ilvl w:val="0"/>
          <w:numId w:val="2"/>
        </w:numPr>
        <w:spacing w:after="80"/>
      </w:pPr>
      <w:r>
        <w:t xml:space="preserve">Care team reviews score, SDOH, consent, and the full patient chart.</w:t>
      </w:r>
    </w:p>
    <w:p>
      <w:pPr>
        <w:pStyle w:val="ListParagraph"/>
        <w:numPr>
          <w:ilvl w:val="0"/>
          <w:numId w:val="2"/>
        </w:numPr>
        <w:spacing w:after="80"/>
      </w:pPr>
      <w:r>
        <w:t xml:space="preserve">Staff either accepts the patient into CoCM, records a decline (plus a 30-day follow-up), or starts a referral/warm handoff.</w:t>
      </w:r>
    </w:p>
    <w:p>
      <w:pPr>
        <w:pStyle w:val="ListParagraph"/>
        <w:numPr>
          <w:ilvl w:val="0"/>
          <w:numId w:val="2"/>
        </w:numPr>
        <w:spacing w:after="80"/>
      </w:pPr>
      <w:r>
        <w:t xml:space="preserve">BHCM coordinates care goals, outreach, communication, and follow-up tasks.</w:t>
      </w:r>
    </w:p>
    <w:p>
      <w:pPr>
        <w:pStyle w:val="ListParagraph"/>
        <w:numPr>
          <w:ilvl w:val="0"/>
          <w:numId w:val="2"/>
        </w:numPr>
        <w:spacing w:after="80"/>
      </w:pPr>
      <w:r>
        <w:t xml:space="preserve">Psychiatrist reviews elevated/safety/active cases and sends recommendations only to BHCM or PCP.</w:t>
      </w:r>
    </w:p>
    <w:p>
      <w:pPr>
        <w:pStyle w:val="ListParagraph"/>
        <w:numPr>
          <w:ilvl w:val="0"/>
          <w:numId w:val="2"/>
        </w:numPr>
        <w:spacing w:after="80"/>
      </w:pPr>
      <w:r>
        <w:t xml:space="preserve">PCP/BHCM approve or defer the recommendation (deferral needs a structured reason).</w:t>
      </w:r>
    </w:p>
    <w:p>
      <w:pPr>
        <w:pStyle w:val="ListParagraph"/>
        <w:numPr>
          <w:ilvl w:val="0"/>
          <w:numId w:val="2"/>
        </w:numPr>
        <w:spacing w:after="80"/>
      </w:pPr>
      <w:r>
        <w:t xml:space="preserve">Providers submit their time logs (these become immutable once submitted).</w:t>
      </w:r>
    </w:p>
    <w:p>
      <w:pPr>
        <w:pStyle w:val="ListParagraph"/>
        <w:numPr>
          <w:ilvl w:val="0"/>
          <w:numId w:val="2"/>
        </w:numPr>
        <w:spacing w:after="80"/>
      </w:pPr>
      <w:r>
        <w:t xml:space="preserve">The billing engine computes the monthly CoCM billing status.</w:t>
      </w:r>
    </w:p>
    <w:p>
      <w:pPr>
        <w:pStyle w:val="ListParagraph"/>
        <w:numPr>
          <w:ilvl w:val="0"/>
          <w:numId w:val="2"/>
        </w:numPr>
        <w:spacing w:after="80"/>
      </w:pPr>
      <w:r>
        <w:t xml:space="preserve">Reports show outcomes, documentation gaps, and claim readiness.</w:t>
      </w:r>
    </w:p>
    <w:p>
      <w:pPr>
        <w:pStyle w:val="ListParagraph"/>
        <w:numPr>
          <w:ilvl w:val="0"/>
          <w:numId w:val="2"/>
        </w:numPr>
        <w:spacing w:after="80"/>
      </w:pPr>
      <w:r>
        <w:t xml:space="preserve">Clinic Admin exports a claim-ready CSV when everything is complete.</w:t>
      </w:r>
    </w:p>
    <w:p>
      <w:pPr>
        <w:sectPr>
          <w:headerReference w:type="default" r:id="rId13"/>
          <w:footerReference w:type="default" r:id="rId14"/>
          <w:pgSz w:w="12240" w:h="15840" w:orient="portrait"/>
          <w:pgMar w:top="1080" w:right="1080" w:bottom="1080" w:left="1080" w:header="708" w:footer="708" w:gutter="0"/>
          <w:pgNumType/>
          <w:docGrid w:linePitch="360"/>
        </w:sectPr>
      </w:pPr>
    </w:p>
    <w:p>
      <w:pPr>
        <w:pStyle w:val="Heading1"/>
        <w:spacing w:after="200" w:before="400"/>
      </w:pPr>
      <w:r>
        <w:t xml:space="preserve">10. Roman Urdu Summary — Poora Khulasa</w:t>
      </w:r>
    </w:p>
    <w:p>
      <w:pPr>
        <w:spacing w:after="150"/>
      </w:pPr>
      <w:r>
        <w:rPr>
          <w:b w:val="false"/>
          <w:bCs w:val="false"/>
          <w:i w:val="false"/>
          <w:iCs w:val="false"/>
        </w:rPr>
        <w:t xml:space="preserve">Verdict: Aapka naya document sahi aur technically consistent hai — lekin ye "kya banane ka plan tha" wali files se thora alag hai kyunke ye jo waqai bana hai uska reference hai. Kuch cheezein plan se zyada ban gayi hain (SuperAdmin/Clinic Admin roles, SDOH module, Psychiatrist portal, multi-tenancy, encrypted MRN), aur kuch cheezein abhi adhoori hain (patient apna khud ka app account activate nahi kar sakta, kiosk ka MDM lockdown sirf documentation hai, push notifications abhi test credentials pe hain, safety-check ka logic bohot simple hai, aur billing ke rules abhi approved nahi hain).</w:t>
      </w:r>
    </w:p>
    <w:p>
      <w:pPr>
        <w:spacing w:after="150"/>
      </w:pPr>
      <w:r>
        <w:rPr>
          <w:b w:val="false"/>
          <w:bCs w:val="false"/>
          <w:i w:val="false"/>
          <w:iCs w:val="false"/>
        </w:rPr>
        <w:t xml:space="preserve">PHQ-2/PHQ-9/GAD-7 ka jawab: PHQ-2 ek chota sa 2-sawal wala pre-screener hai jo sabse pehle diya jata hai. Agar iska score 3 ya zyada aaye, to system khud-ba-khud ek poora PHQ-9 (9-sawal) assessment usi kiosk session ke andar continue karwa deta hai. Agar PHQ-2 ka score 3 se kam ho, to wahin ruk jata hai. GAD-7 (anxiety wala test) bilkul alag/independent hai — ye kisi score se auto-trigger nahi hota.</w:t>
      </w:r>
    </w:p>
    <w:p>
      <w:pPr>
        <w:spacing w:after="150"/>
      </w:pPr>
      <w:r>
        <w:rPr>
          <w:b w:val="false"/>
          <w:bCs w:val="false"/>
          <w:i w:val="false"/>
          <w:iCs w:val="false"/>
        </w:rPr>
        <w:t xml:space="preserve">Kiosk ka jawab: Sirf ek hi tareeqa actual system mein hai — patient khud QR scan kar ke apna record nahi bana sakta. Hamesha pehle staff hi patient ko register karta hai, phir staff hi ek 30-minute wala special token banata hai. Patient tablet pe sirf apni identity confirm karta hai.</w:t>
      </w:r>
    </w:p>
    <w:p>
      <w:pPr>
        <w:spacing w:after="150"/>
      </w:pPr>
      <w:r>
        <w:rPr>
          <w:b/>
          <w:bCs/>
          <w:i w:val="false"/>
          <w:iCs w:val="false"/>
        </w:rPr>
        <w:t xml:space="preserve">Action items (kya karna hai):</w:t>
      </w:r>
    </w:p>
    <w:p>
      <w:pPr>
        <w:pStyle w:val="ListParagraph"/>
        <w:numPr>
          <w:ilvl w:val="0"/>
          <w:numId w:val="1"/>
        </w:numPr>
        <w:spacing w:after="80"/>
      </w:pPr>
      <w:r>
        <w:t xml:space="preserve">Patient ko password-setup email bhejna shuru karo</w:t>
      </w:r>
    </w:p>
    <w:p>
      <w:pPr>
        <w:pStyle w:val="ListParagraph"/>
        <w:numPr>
          <w:ilvl w:val="0"/>
          <w:numId w:val="1"/>
        </w:numPr>
        <w:spacing w:after="80"/>
      </w:pPr>
      <w:r>
        <w:t xml:space="preserve">Safety-check ka logic ek clinician se review karwao</w:t>
      </w:r>
    </w:p>
    <w:p>
      <w:pPr>
        <w:pStyle w:val="ListParagraph"/>
        <w:numPr>
          <w:ilvl w:val="0"/>
          <w:numId w:val="1"/>
        </w:numPr>
        <w:spacing w:after="80"/>
      </w:pPr>
      <w:r>
        <w:t xml:space="preserve">Billing/CPT code rules ko ek billing expert se approve karwao</w:t>
      </w:r>
    </w:p>
    <w:p>
      <w:pPr>
        <w:pStyle w:val="ListParagraph"/>
        <w:numPr>
          <w:ilvl w:val="0"/>
          <w:numId w:val="1"/>
        </w:numPr>
        <w:spacing w:after="80"/>
      </w:pPr>
      <w:r>
        <w:t xml:space="preserve">Kiosk tablet ka asli MDM lockdown implement karo</w:t>
      </w:r>
    </w:p>
    <w:p>
      <w:pPr>
        <w:pStyle w:val="ListParagraph"/>
        <w:numPr>
          <w:ilvl w:val="0"/>
          <w:numId w:val="1"/>
        </w:numPr>
        <w:spacing w:after="80"/>
      </w:pPr>
      <w:r>
        <w:t xml:space="preserve">Push notifications ke liye real Firebase project set up karo</w:t>
      </w:r>
    </w:p>
    <w:p>
      <w:pPr>
        <w:pStyle w:val="ListParagraph"/>
        <w:numPr>
          <w:ilvl w:val="0"/>
          <w:numId w:val="1"/>
        </w:numPr>
        <w:spacing w:after="80"/>
      </w:pPr>
      <w:r>
        <w:t xml:space="preserve">AUDIT-C, PROMIS, aur custom assessment tools future mein add karo</w:t>
      </w:r>
    </w:p>
    <w:p>
      <w:pPr>
        <w:pStyle w:val="ListParagraph"/>
        <w:numPr>
          <w:ilvl w:val="0"/>
          <w:numId w:val="1"/>
        </w:numPr>
        <w:spacing w:after="80"/>
      </w:pPr>
      <w:r>
        <w:t xml:space="preserve">Purani "patient khud QR scan kare" wali idea ko chor do</w:t>
      </w:r>
    </w:p>
    <w:sectPr>
      <w:headerReference w:type="default" r:id="rId15"/>
      <w:footerReference w:type="default" r:id="rId16"/>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888888"/>
        <w:sz w:val="16"/>
        <w:szCs w:val="16"/>
      </w:rPr>
      <w:t xml:space="preserve">Meduvo Health CoCM Platform — Corrected Master Reference   |   Page </w:t>
    </w:r>
    <w:r>
      <w:rPr>
        <w:color w:val="888888"/>
        <w:sz w:val="16"/>
        <w:szCs w:val="16"/>
      </w:rPr>
      <w:fldChar w:fldCharType="begin"/>
      <w:instrText xml:space="preserve">PAGE</w:instrText>
      <w:fldChar w:fldCharType="separate"/>
      <w:fldChar w:fldCharType="end"/>
    </w:r>
    <w:r>
      <w:rPr>
        <w:color w:val="888888"/>
        <w:sz w:val="16"/>
        <w:szCs w:val="16"/>
      </w:rPr>
      <w:t xml:space="preserve"> of </w:t>
    </w:r>
    <w:r>
      <w:rPr>
        <w:color w:val="888888"/>
        <w:sz w:val="16"/>
        <w:szCs w:val="16"/>
      </w:rPr>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888888"/>
        <w:sz w:val="16"/>
        <w:szCs w:val="16"/>
      </w:rPr>
      <w:t xml:space="preserve">Meduvo Health CoCM Platform — Corrected Master Reference   |   Page </w:t>
    </w:r>
    <w:r>
      <w:rPr>
        <w:color w:val="888888"/>
        <w:sz w:val="16"/>
        <w:szCs w:val="16"/>
      </w:rPr>
      <w:fldChar w:fldCharType="begin"/>
      <w:instrText xml:space="preserve">PAGE</w:instrText>
      <w:fldChar w:fldCharType="separate"/>
      <w:fldChar w:fldCharType="end"/>
    </w:r>
    <w:r>
      <w:rPr>
        <w:color w:val="888888"/>
        <w:sz w:val="16"/>
        <w:szCs w:val="16"/>
      </w:rPr>
      <w:t xml:space="preserve"> of </w:t>
    </w:r>
    <w:r>
      <w:rPr>
        <w:color w:val="888888"/>
        <w:sz w:val="16"/>
        <w:szCs w:val="16"/>
      </w:rPr>
      <w:fldChar w:fldCharType="begin"/>
      <w:instrText xml:space="preserve">NUMPAGES</w:instrText>
      <w:fldChar w:fldCharType="separate"/>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888888"/>
        <w:sz w:val="16"/>
        <w:szCs w:val="16"/>
      </w:rPr>
      <w:t xml:space="preserve">Meduvo Health CoCM Platform — Corrected Master Reference   |   Page </w:t>
    </w:r>
    <w:r>
      <w:rPr>
        <w:color w:val="888888"/>
        <w:sz w:val="16"/>
        <w:szCs w:val="16"/>
      </w:rPr>
      <w:fldChar w:fldCharType="begin"/>
      <w:instrText xml:space="preserve">PAGE</w:instrText>
      <w:fldChar w:fldCharType="separate"/>
      <w:fldChar w:fldCharType="end"/>
    </w:r>
    <w:r>
      <w:rPr>
        <w:color w:val="888888"/>
        <w:sz w:val="16"/>
        <w:szCs w:val="16"/>
      </w:rPr>
      <w:t xml:space="preserve"> of </w:t>
    </w:r>
    <w:r>
      <w:rPr>
        <w:color w:val="888888"/>
        <w:sz w:val="16"/>
        <w:szCs w:val="16"/>
      </w:rPr>
      <w:fldChar w:fldCharType="begin"/>
      <w:instrText xml:space="preserve">NUMPAGES</w:instrText>
      <w:fldChar w:fldCharType="separate"/>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888888"/>
        <w:sz w:val="16"/>
        <w:szCs w:val="16"/>
      </w:rPr>
      <w:t xml:space="preserve">Meduvo Health CoCM Platform — Corrected Master Reference   |   Page </w:t>
    </w:r>
    <w:r>
      <w:rPr>
        <w:color w:val="888888"/>
        <w:sz w:val="16"/>
        <w:szCs w:val="16"/>
      </w:rPr>
      <w:fldChar w:fldCharType="begin"/>
      <w:instrText xml:space="preserve">PAGE</w:instrText>
      <w:fldChar w:fldCharType="separate"/>
      <w:fldChar w:fldCharType="end"/>
    </w:r>
    <w:r>
      <w:rPr>
        <w:color w:val="888888"/>
        <w:sz w:val="16"/>
        <w:szCs w:val="16"/>
      </w:rPr>
      <w:t xml:space="preserve"> of </w:t>
    </w:r>
    <w:r>
      <w:rPr>
        <w:color w:val="888888"/>
        <w:sz w:val="16"/>
        <w:szCs w:val="16"/>
      </w:rPr>
      <w:fldChar w:fldCharType="begin"/>
      <w:instrText xml:space="preserve">NUMPAGES</w:instrText>
      <w:fldChar w:fldCharType="separate"/>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888888"/>
        <w:sz w:val="16"/>
        <w:szCs w:val="16"/>
      </w:rPr>
      <w:t xml:space="preserve">Meduvo Health CoCM Platform — Corrected Master Reference   |   Page </w:t>
    </w:r>
    <w:r>
      <w:rPr>
        <w:color w:val="888888"/>
        <w:sz w:val="16"/>
        <w:szCs w:val="16"/>
      </w:rPr>
      <w:fldChar w:fldCharType="begin"/>
      <w:instrText xml:space="preserve">PAGE</w:instrText>
      <w:fldChar w:fldCharType="separate"/>
      <w:fldChar w:fldCharType="end"/>
    </w:r>
    <w:r>
      <w:rPr>
        <w:color w:val="888888"/>
        <w:sz w:val="16"/>
        <w:szCs w:val="16"/>
      </w:rPr>
      <w:t xml:space="preserve"> of </w:t>
    </w:r>
    <w:r>
      <w:rPr>
        <w:color w:val="888888"/>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i/>
        <w:iCs/>
        <w:color w:val="AAAAAA"/>
        <w:sz w:val="16"/>
        <w:szCs w:val="16"/>
      </w:rPr>
      <w:t xml:space="preserve">Confidential — Internal Reference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i/>
        <w:iCs/>
        <w:color w:val="AAAAAA"/>
        <w:sz w:val="16"/>
        <w:szCs w:val="16"/>
      </w:rPr>
      <w:t xml:space="preserve">Confidential — Internal Reference</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i/>
        <w:iCs/>
        <w:color w:val="AAAAAA"/>
        <w:sz w:val="16"/>
        <w:szCs w:val="16"/>
      </w:rPr>
      <w:t xml:space="preserve">Confidential — Internal Reference</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i/>
        <w:iCs/>
        <w:color w:val="AAAAAA"/>
        <w:sz w:val="16"/>
        <w:szCs w:val="16"/>
      </w:rPr>
      <w:t xml:space="preserve">Confidential — Internal Reference</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i/>
        <w:iCs/>
        <w:color w:val="AAAAAA"/>
        <w:sz w:val="16"/>
        <w:szCs w:val="16"/>
      </w:rPr>
      <w:t xml:space="preserve">Confidential — Internal Reference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header" Target="header2.xml"/><Relationship Id="rId10" Type="http://schemas.openxmlformats.org/officeDocument/2006/relationships/footer" Target="footer2.xml"/><Relationship Id="rId11" Type="http://schemas.openxmlformats.org/officeDocument/2006/relationships/header" Target="header3.xml"/><Relationship Id="rId12" Type="http://schemas.openxmlformats.org/officeDocument/2006/relationships/footer" Target="footer3.xml"/><Relationship Id="rId13" Type="http://schemas.openxmlformats.org/officeDocument/2006/relationships/header" Target="header4.xml"/><Relationship Id="rId14" Type="http://schemas.openxmlformats.org/officeDocument/2006/relationships/footer" Target="footer4.xml"/><Relationship Id="rId15" Type="http://schemas.openxmlformats.org/officeDocument/2006/relationships/header" Target="header5.xml"/><Relationship Id="rId16" Type="http://schemas.openxmlformats.org/officeDocument/2006/relationships/footer" Target="footer5.xml"/><Relationship Id="rId1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er3.xml.rels><?xml version="1.0" encoding="UTF-8"?><Relationships xmlns="http://schemas.openxmlformats.org/package/2006/relationships"/>
</file>

<file path=word/_rels/footer4.xml.rels><?xml version="1.0" encoding="UTF-8"?><Relationships xmlns="http://schemas.openxmlformats.org/package/2006/relationships"/>
</file>

<file path=word/_rels/footer5.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word/_rels/header3.xml.rels><?xml version="1.0" encoding="UTF-8"?><Relationships xmlns="http://schemas.openxmlformats.org/package/2006/relationships"/>
</file>

<file path=word/_rels/header4.xml.rels><?xml version="1.0" encoding="UTF-8"?><Relationships xmlns="http://schemas.openxmlformats.org/package/2006/relationships"/>
</file>

<file path=word/_rels/header5.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Meduvo Health CoCM Platform — Corrected Master Reference</dc:title>
  <dc:creator>Meduvo Health</dc:creator>
  <cp:lastModifiedBy>Un-named</cp:lastModifiedBy>
  <cp:revision>1</cp:revision>
  <dcterms:created xsi:type="dcterms:W3CDTF">2026-07-22T13:34:06.477Z</dcterms:created>
  <dcterms:modified xsi:type="dcterms:W3CDTF">2026-07-22T13:34:06.493Z</dcterms:modified>
</cp:coreProperties>
</file>

<file path=docProps/custom.xml><?xml version="1.0" encoding="utf-8"?>
<Properties xmlns="http://schemas.openxmlformats.org/officeDocument/2006/custom-properties" xmlns:vt="http://schemas.openxmlformats.org/officeDocument/2006/docPropsVTypes"/>
</file>